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Literaturprüfung und erneute systematische Literatursuche</w:t>
      </w:r>
    </w:p>
    <w:p>
      <w:pPr>
        <w:spacing w:after="100"/>
      </w:pPr>
      <w:r>
        <w:rPr>
          <w:i/>
          <w:iCs/>
          <w:sz w:val="18"/>
          <w:szCs w:val="18"/>
        </w:rPr>
        <w:t xml:space="preserve">Stand: 09.08.2026 · Claude-Code-generiert · Bezieht sich auf alle 16 Antragsdokumente des Portfolios (Material_1 … Material_5 + Materialsysteme_Vergleich)</w:t>
      </w:r>
    </w:p>
    <w:p>
      <w:pPr>
        <w:pStyle w:val="Heading1"/>
        <w:spacing w:after="120" w:before="240"/>
      </w:pPr>
      <w:r>
        <w:t xml:space="preserve">1  Methode</w:t>
      </w:r>
    </w:p>
    <w:p>
      <w:pPr>
        <w:spacing w:after="100"/>
      </w:pPr>
      <w:r>
        <w:t xml:space="preserve">Alle Referenzlisten der 16 Dokumente wurden extrahiert und auf 101 einzigartige Publikationen dedupliziert. Jede Referenz wurde feldweise (Erstautor/Autorenliste, Titel, Journal, Band, Seiten/Artikelnummer, Jahr) gegen die Verlagsangaben geprüft und die DOI ermittelt; parallel wurde die systematische Literatursuche für jedes der fünf Materialsysteme wiederholt (Kernaussagen-Prüfung, Neuerscheinungen 2023–2026, Prüfung der „Lücken“-Behauptungen). Hinweis zur Umgebung: Die Crossref-API und doi.org sind aus dieser Ausführungsumgebung netzwerkseitig gesperrt; die Verifikation erfolgte über Websuche mit Mehrfach-Korroboration (Verlagsseiten, PubMed, OSTI, arXiv, ADS). Einzelne Detailangaben, die nur per Volltext prüfbar sind, sind unten als Restpunkte markiert.</w:t>
      </w:r>
    </w:p>
    <w:p>
      <w:pPr>
        <w:pStyle w:val="Heading1"/>
        <w:spacing w:after="120" w:before="240"/>
      </w:pPr>
      <w:r>
        <w:t xml:space="preserve">2  Ergebnis der Referenzprüfung</w:t>
      </w:r>
    </w:p>
    <w:p>
      <w:pPr>
        <w:spacing w:after="100"/>
      </w:pPr>
      <w:r>
        <w:t xml:space="preserve">88 von 101 Referenzen waren vollständig korrekt. 13 Einträge wurden korrigiert bzw. vervollständigt – darunter Fehler, die die frühere reine DOI-Prüfung nicht erfasst hatte (falsche Erstautoren bei korrekter Fundstelle, ein nicht existierender Autor, ein paraphrasierter Titel, ein aus zwei Publikationen vermischtes Zitat). Alle Korrekturen sind in sämtlichen betroffenen Dokumenten eingepflegt: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72"/>
      </w:tblGrid>
      <w:tr>
        <w:tc>
          <w:tcPr>
            <w:tcW w:type="dxa" w:w="2200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Befund</w:t>
            </w:r>
          </w:p>
        </w:tc>
        <w:tc>
          <w:tcPr>
            <w:tcW w:type="dxa" w:w="3600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Korrektur</w:t>
            </w:r>
          </w:p>
        </w:tc>
        <w:tc>
          <w:tcPr>
            <w:tcW w:type="dxa" w:w="3272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Betroffene Dokumente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Falscher Erstautor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„A. Gogoi“ → „D. Gogoi“ (Gogoi et al., Phys. Status Solidi A 221, 2300500 (2024), DOI 10.1002/pssa.202300500)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5× DFG Emmy Noether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Falscher Erstautor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„N. Nizet“ → „P. Nizet“ (Nizet et al., Appl. Phys. Rev. 11, 041426 (2024), DOI 10.1063/5.0234003)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11× (alle EN-, ERC- u. Lynen-LSFO-Fassungen)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Falscher Erstautor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„H. Tian“ → „J. Tian“ (Tian et al., Adv. Mater. 31, 1903679 (2019), DOI 10.1002/adma.201903679; Verwechslung mit He Tian, Nano Lett. 13, 651 (2013))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11× (EN, ERC, Lynen-LSFO)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Falscher Erstautor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„D. Muenstermann“ → „R. Muenstermann“ (Adv. Mater. 22, 4819 (2010), DOI 10.1002/adma.201001872)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5× DFG Emmy Noether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Falsche Autorenreihenfolge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„E. A. Kotomin et al.“ → „Yu. A. Mastrikov, R. Merkle, E. A. Kotomin, M. M. Kuklja, J. Maier“ (Phys. Chem. Chem. Phys. 15, 911 (2013), DOI 10.1039/C2CP43557H; Kotomin ist Drittautor)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5× DFG Emmy Noether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Nicht existierender Autor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„X. Zhang et al.“ → „X. Mou et al.“ (Science Advances 7, eabh0648 (2021), DOI 10.1126/sciadv.abh0648; kein X. Zhang in der Autorenliste)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5× DFG Emmy Noether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Falscher Titel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Nallagatla et al., Adv. Mater. 31, 1903391 (2019): tatsächlicher Titel „Topotactic Phase Transition Driving Memristive Behavior“ (zitierter Titel war paraphrasiert/erfunden)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6× (EN, Lynen-LSFO)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Vermischtes Zitat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Koster/Rijnders-PLD-Intervalldeposition: Autoren/Titel gehörten zu Appl. Phys. Lett. 74, 3729–3731 (1999), DOI 10.1063/1.123235 – Journalangabe (Appl. Surf. Sci. 168, 2000) entsprechend ersetzt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5× DFG Emmy Noether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Unvollständiger Titel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Liu et al., ACS Appl. Nano Mater. 7, 6139 (2024), DOI 10.1021/acsanm.3c06023: Titel endet auf „…Resistive Switching Behavior“ – „Behavior“ ergänzt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6× (EN, Lynen-LSMO)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Titel-Detail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Lee et al., Phys. Rev. B 80, 224101 (2009): „(B = Mn, Fe, Co, and Ni)“ – fehlendes „and“ ergänzt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5× DFG Emmy Noether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Platzhalter aufgelöst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Lole et al., J. Phys. Chem. C 127, 177–186 (2023), DOI 10.1021/acs.jpcc.2c05622 – vollständige Autorenliste eingetragen: G. Lole, F. Ebrahimi, T. Meyer, D. Mierwaldt, V. Roddatis, J. Geppert, M. Risch, C. Jooss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Lynen-PCMO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Platzhalter aufgelöst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RSC Advances DOI 10.1039/C5RA21982E – vervollständigt: N. Lee, Y. Lansac, H. Hwang, Y. H. Jang, „Switching mechanism of Al/La1-xSrxMnO3 resistance random access memory. I. Oxygen vacancy formation in perovskites“, RSC Adv. 5, 102772–102779 (2015). Hinweis: DFT-Theoriearbeit, keine Experimentalstudie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Lynen-LSMO</w:t>
            </w:r>
          </w:p>
        </w:tc>
      </w:tr>
    </w:tbl>
    <w:p>
      <w:pPr>
        <w:pStyle w:val="Heading1"/>
        <w:spacing w:after="120" w:before="240"/>
      </w:pPr>
      <w:r>
        <w:t xml:space="preserve">3  Inhaltliche Präzisierungen (aus der Literatursuche)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72"/>
      </w:tblGrid>
      <w:tr>
        <w:tc>
          <w:tcPr>
            <w:tcW w:type="dxa" w:w="2200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Punkt</w:t>
            </w:r>
          </w:p>
        </w:tc>
        <w:tc>
          <w:tcPr>
            <w:tcW w:type="dxa" w:w="3600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Anpassung</w:t>
            </w:r>
          </w:p>
        </w:tc>
        <w:tc>
          <w:tcPr>
            <w:tcW w:type="dxa" w:w="3272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Dokumente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LSFO: EV-Spanne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„≈4 eV → &lt;1 eV“ ist durch Ritzmann 2013 nur für x = 0–0,5 gedeckt (x = 1 dort nicht gerechnet). Präzisiert zu „across x = 0–0.5“ bzw. „für x ≤ 0,5“; für das Endglied SrFeO3 ggf. Zusatzquelle aufnehmen (z. B. Santana et al., J. Chem. Phys. 147, 034701 (2017): DMC 1,3(1) eV)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ERC (5×), Vergleich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PCMO: Lole-Einordnung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„Kovalenz vs. x quantifiziert“ → präzisiert: Lole et al. vergleichen zwei Kompositionen (x = 0,1 und 0,33), keine durchgehende x-Serie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Vergleich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LNO: TiN-Behauptung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„Intrinsisches Schalten ohne TiN nie gezeigt“ war zu stark: TiN-freie Memristanz existiert in All-Oxid-La2NiO4+δ/LaNiO3−δ-Bilayern (J. Mater. Chem. A 10 (2022), DOI 10.1039/D1TA10296F) und Einkristall-Tunnelkontakten (2019). Präzisiert auf „planare Dünnfilm-Devices“; Neuheitsanspruch bleibt tragfähig, Formulierung jetzt verteidigbar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Lynen-LNO, Vergleich</w:t>
            </w:r>
          </w:p>
        </w:tc>
      </w:tr>
    </w:tbl>
    <w:p>
      <w:pPr>
        <w:pStyle w:val="Heading1"/>
        <w:spacing w:after="120" w:before="240"/>
      </w:pPr>
      <w:r>
        <w:t xml:space="preserve">4  Systematische Literatursuche je Materialsystem</w:t>
      </w:r>
    </w:p>
    <w:p>
      <w:pPr>
        <w:spacing w:after="100"/>
      </w:pPr>
      <w:r>
        <w:t xml:space="preserve">Die zentralen „Lücken“-Behauptungen aller fünf Systeme halten der erneuten Prüfung stand (Stand August 2026). Die empfohlenen Neuaufnahmen wurden am 09.08.2026 – nach Einzelverifikation aller bibliographischen Angaben – in die Referenzlisten und an passende Textstellen der Antragsdokumente eingearbeitet: Emmy Noether [81]–[88] (alle fünf Fassungen), ERC [31]–[35] (alle fünf Fassungen), Lynen-Exposés systemspezifisch (STF [29]–[31], PCMO [22]–[23], LSFO [22]–[23], LSMO [23]–[24], LNO [23]–[25]). Nicht übernommen: das Sensors-Review 23, 8838 (2023) – es behandelt topologische, nicht topotaktische Phasenübergänge und ist thematisch unpassend – sowie zwei nur teilverifizierte Leads (s. Abschnitt 5).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72"/>
      </w:tblGrid>
      <w:tr>
        <w:tc>
          <w:tcPr>
            <w:tcW w:type="dxa" w:w="2200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Befund</w:t>
            </w:r>
          </w:p>
        </w:tc>
        <w:tc>
          <w:tcPr>
            <w:tcW w:type="dxa" w:w="3272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Empfohlene Neuaufnahmen (2023–2026)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– STF (SrTi1-xFexO3-δ)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Alle vier Kernaussagen bestätigt (Rothschild-Defektchemie-Formeln; intrinsisches eightwise-Schalten mit Pt; Graphen-operando-Plattform; O-Austausch mit Luftfeuchte). Lücke bestätigt: bis Aug 2026 keine epitaktische Fe-Serie mit inerten Elektroden publiziert.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Eingearbeitet: A. Sarantopoulos, K. Lange, F. Rivadulla, S. Menzel, R. Dittmann, Adv. Electron. Mater. 11, 2400555 (2025), DOI 10.1002/aelm.202400555 (Kinetik/Thermal Confinement) · M. Mladenović et al., ACS Appl. Electron. Mater. 7, 2839–2847 (2025), DOI 10.1021/acsaelm.4c02350 (terminierungsabhängiges Pt/STO-Schalten) · K.-J. Lee et al., Materials 17, 5021 (2024), DOI 10.3390/ma17205021 (Sol-Gel-STF-Memristor, Al-Elektrode – zur Abgrenzung der Lücke)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– PCMO (Pr1-xCaxMnO3)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Alle Kernaussagen bestätigt (Lole-Kovalenz; Asanuma-x-Serie; Herpers-Reaktivelektroden-Confounder; Abbate-XAS). Asanuma-Optimum „x ≈ 0,4“ vor Einreichung am Volltext gegenprüfen. Lücke bestätigt: keine Manganit-x-Serie mit inerten Elektroden.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Eingearbeitet: A. Schulman, H. Huhtinen, P. Paturi, J. Phys. D: Appl. Phys. 57, 422001 (2024), DOI 10.1088/1361-6463/ad6575 (Manganit-Memristor-Review) · A. Antola et al., ACS Appl. Electron. Mater. 7, 4242–4250 (2025), DOI 10.1021/acsaelm.5c00403 (GCMO, Al vs. Au)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– LSFO (La1-xSrxFeO3-δ)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Topotaktisches SrFeOx-Schalten (ON/OFF ~10⁴) bestätigt; Nizet 2024 exakt verifiziert (Achtung: 3-Terminal-elektrochemische Zelle, kein 2-Terminal-Memristor – stützt die Lücke). EV-Spanne auf x ≤ 0,5 präzisiert (s. o.). Lücke bestätigt: keine Memristor-Studie bei 0 &lt; x &lt; 1.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Eingearbeitet: J. A. Santana, J. T. Krogel, P. R. C. Kent, F. A. Reboredo, J. Chem. Phys. 147, 034701 (2017), DOI 10.1063/1.4994083 (DMC-EV für SrFeO3/LaFeO3-Endglieder) · C. Song, H. Luo, J. Xu, Y. Song, Q. Hu, Ionics 32, 2427–2437 (2026), DOI 10.1007/s11581-025-06936-4 (LaFeO3-RRAM-DFT; Jahr/Band gegenüber Empfehlung korrigiert). Verworfen: Sensors 23, 8838 (2023) – behandelt topologische, nicht topotaktische Materialien. Offener Lead: SrFeOx volatil/ferroelektrisch, ACS Appl. Mater. Interfaces 17, 9595 (2025)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– LSMO (La1-xSrxMnO3-δ)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Alle Kernaussagen bestätigt (Abbate-XAS; Moreno/Liu/Yao als aktive Schicht – Hinweis: Liu 2024 nutzt aktive Ag-Elektrode; Choi 2013 bleibt einzige x-Serie: 3 Punkte, gesputtert, Al-Elektrode; RSC-Advances-Referenz ist DFT-Theorie). Lücke bestätigt: keine LSMO-Serie mit inerten Elektroden.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Eingearbeitet: A. Schulman et al., J. Phys. D 57, 422001 (2024) (s. PCMO) · S. Kunwar et al., ACS Appl. Mater. Interfaces 16, 19103–19111 (2024), DOI 10.1021/acsami.3c19032 (rekonfigurierbare VO2/LSMO/Al2O3-Devices)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– LNO (La2NiO4+δ)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Kuiper-XAS, Khuu 2022, Koroleva 2024, Khuu/Koroleva 2025 (Band 11/2025 korrekt) bestätigt. TiN-Aussage präzisiert (s. o.). Neuheitsanspruch (erster intrinsischer Interstitial-Memristor in planarer Dünnfilm-Geometrie) bleibt gültig.</w:t>
            </w:r>
          </w:p>
        </w:tc>
        <w:tc>
          <w:tcPr>
            <w:tcW w:type="dxa" w:w="3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Eingearbeitet: K. Maas, C. Wulles, J. M. Caicedo Roque, B. Ballesteros, V. Lafarge, J. Santiso, M. Burriel, J. Mater. Chem. A 10, 6523–6530 (2022), DOI 10.1039/D1TA10296F (TiN-freie All-Oxid-Bilayer – Beleg der präzisierten Kernaussage) · T.-K. Khuu et al., J. Phys. D 57, 10LT01 (2024), DOI 10.1088/1361-6463/ad1016 (SNN-Synapsen) · Y. Yao et al., Mater. Horiz. 13, 2479–2488 (2026), DOI 10.1039/D5MH01394A (O-interkaliertes RP-Nickelat, Riesen-Widerstandsmodulation). Offener Lead: topochemische Oxidation RP-Nickelate, JACS (2025), DOI 10.1021/jacs.5c12712</w:t>
            </w:r>
          </w:p>
        </w:tc>
      </w:tr>
    </w:tbl>
    <w:p>
      <w:pPr>
        <w:pStyle w:val="Heading1"/>
        <w:spacing w:after="120" w:before="240"/>
      </w:pPr>
      <w:r>
        <w:t xml:space="preserve">5  Verbleibende Restpunkte vor Einreichung</w:t>
      </w:r>
    </w:p>
    <w:p>
      <w:pPr>
        <w:spacing w:after="100"/>
      </w:pPr>
      <w:r>
        <w:t xml:space="preserve">• Asanuma 2009: exakten Optimum-Wert (x ≈ 0,4) am Volltext/Abbildung verifizieren. • Choi 2013: Al-Topelektrode am PDF bestätigen (Abstract nennt nur Pt-Bottom). • Choi-2013-DOI (10.1016/j.tsf.2012.07.069) nur über Suchtreffer bestätigt. • Zwei offene Literatur-Leads bei Bedarf verifizieren und ergänzen: SrFeOx-Volatile-Switching (ACS Appl. Mater. Interfaces 17, 9595 (2025), DOI unbestätigt) und topochemische RP-Oxidation (JACS, DOI 10.1021/jacs.5c12712, Autorenliste unbestätigt). • Vor der finalen Einreichung ein Scopus/Web-of-Science-Sweep als Gegenprobe zur hier verwendeten Websuche. • Manuskript-Platzhalter [P1]/[E4] und institutionelle Platzhalter unverändert offen (siehe Vergleichsdokument).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2026-08-09T16:22:35.661Z</dcterms:created>
  <dcterms:modified xsi:type="dcterms:W3CDTF">2026-08-09T16:22:35.673Z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