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4FE68" w14:textId="77777777" w:rsidR="002F0DB5" w:rsidRDefault="002F0DB5">
      <w:pPr>
        <w:pStyle w:val="Heading1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Mailentwurf: Projektidee an Regina Dittmann und David Müller</w:t>
      </w:r>
    </w:p>
    <w:p w14:paraId="78E0A79B" w14:textId="77777777" w:rsidR="002F0DB5" w:rsidRDefault="002F0DB5">
      <w:pPr>
        <w:pStyle w:val="meta"/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Entwurf vom 09.08.2026 · Status: zum Versand vorbereitet · Anhänge: Materialsysteme-Vergleich + Literaturprüfung (09.08.2026) + wahlweise einzelne Antragssets aus den fünf Materialordnern</w:t>
      </w:r>
    </w:p>
    <w:p w14:paraId="5D8ADE9E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Betreff:</w:t>
      </w:r>
      <w:r>
        <w:rPr>
          <w:rFonts w:ascii="Arial" w:hAnsi="Arial" w:cs="Arial"/>
          <w:sz w:val="22"/>
          <w:szCs w:val="22"/>
        </w:rPr>
        <w:t xml:space="preserve"> Projektidee: Kovalenz als Deskriptor für memristives Schalten – eure Einschätzung?</w:t>
      </w:r>
    </w:p>
    <w:p w14:paraId="338B303C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Liebe Regina, lieber David,</w:t>
      </w:r>
    </w:p>
    <w:p w14:paraId="7DC649A8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ich trage seit einer Weile eine Projektidee mit mir herum und würde gerne eure Einschätzung hören, bevor ich sie ernsthaft weiterverfolge.</w:t>
      </w:r>
    </w:p>
    <w:p w14:paraId="3B04A665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Die Idee in Kürze:</w:t>
      </w:r>
      <w:r>
        <w:rPr>
          <w:rFonts w:ascii="Arial" w:hAnsi="Arial" w:cs="Arial"/>
          <w:sz w:val="22"/>
          <w:szCs w:val="22"/>
        </w:rPr>
        <w:t xml:space="preserve"> In der Energieforschung ist gut etabliert, dass die Bildungsenergie von Sauerstoffleerstellen in Perowskiten von der Metall-Sauerstoff-Kovalenz kontrolliert wird und sich als Deskriptor für Materialeigenschaften nutzen lässt. In unserem Feld spielt die Leerstellen-Energetik zwar überall eine zentrale Rolle, aber meines Wissens hat noch niemand die Kovalenz systematisch als Kontrollvariable variiert und gegen die Schaltkenngrößen aufgetragen. Die Grundidee wäre: Kovalenz in Perowskiten gezielt einstellen, per XAS quantifizieren, gegen das Schaltverhalten auftragen – und daraus langfristig eine Art „Landkarte“ bauen, die Bindungscharakter und Schaltverhalten verknüpft, ähnlich dem, was Wuttig für Chalkogenide gemacht hat.</w:t>
      </w:r>
    </w:p>
    <w:p w14:paraId="3C704DFA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Wichtig zur Einordnung der Anhänge:</w:t>
      </w:r>
      <w:r>
        <w:rPr>
          <w:rFonts w:ascii="Arial" w:hAnsi="Arial" w:cs="Arial"/>
          <w:sz w:val="22"/>
          <w:szCs w:val="22"/>
        </w:rPr>
        <w:t xml:space="preserve"> Ich habe diese Woche angefangen, mit Claude Code zu experimentieren, und habe die Idee testweise durch das Tool ausarbeiten lassen – inzwischen sogar in fünf Varianten: Da ich mir bei der Materialwahl noch nicht sicher bin, gibt es für jedes der aus der Literaturrecherche interessanten Systeme – SrTi</w:t>
      </w:r>
      <w:r>
        <w:rPr>
          <w:rFonts w:ascii="Arial" w:hAnsi="Arial" w:cs="Arial"/>
          <w:sz w:val="22"/>
          <w:szCs w:val="22"/>
          <w:vertAlign w:val="subscript"/>
        </w:rPr>
        <w:t>1-x</w:t>
      </w:r>
      <w:r>
        <w:rPr>
          <w:rFonts w:ascii="Arial" w:hAnsi="Arial" w:cs="Arial"/>
          <w:sz w:val="22"/>
          <w:szCs w:val="22"/>
        </w:rPr>
        <w:t>Fe</w:t>
      </w:r>
      <w:r>
        <w:rPr>
          <w:rFonts w:ascii="Arial" w:hAnsi="Arial" w:cs="Arial"/>
          <w:sz w:val="22"/>
          <w:szCs w:val="22"/>
          <w:vertAlign w:val="subscript"/>
        </w:rPr>
        <w:t>x</w:t>
      </w:r>
      <w:r>
        <w:rPr>
          <w:rFonts w:ascii="Arial" w:hAnsi="Arial" w:cs="Arial"/>
          <w:sz w:val="22"/>
          <w:szCs w:val="22"/>
        </w:rPr>
        <w:t>O</w:t>
      </w:r>
      <w:r>
        <w:rPr>
          <w:rFonts w:ascii="Arial" w:hAnsi="Arial" w:cs="Arial"/>
          <w:sz w:val="22"/>
          <w:szCs w:val="22"/>
          <w:vertAlign w:val="subscript"/>
        </w:rPr>
        <w:t>3-δ</w:t>
      </w:r>
      <w:r>
        <w:rPr>
          <w:rFonts w:ascii="Arial" w:hAnsi="Arial" w:cs="Arial"/>
          <w:sz w:val="22"/>
          <w:szCs w:val="22"/>
        </w:rPr>
        <w:t>, Pr</w:t>
      </w:r>
      <w:r>
        <w:rPr>
          <w:rFonts w:ascii="Arial" w:hAnsi="Arial" w:cs="Arial"/>
          <w:sz w:val="22"/>
          <w:szCs w:val="22"/>
          <w:vertAlign w:val="subscript"/>
        </w:rPr>
        <w:t>1-x</w:t>
      </w:r>
      <w:r>
        <w:rPr>
          <w:rFonts w:ascii="Arial" w:hAnsi="Arial" w:cs="Arial"/>
          <w:sz w:val="22"/>
          <w:szCs w:val="22"/>
        </w:rPr>
        <w:t>Ca</w:t>
      </w:r>
      <w:r>
        <w:rPr>
          <w:rFonts w:ascii="Arial" w:hAnsi="Arial" w:cs="Arial"/>
          <w:sz w:val="22"/>
          <w:szCs w:val="22"/>
          <w:vertAlign w:val="subscript"/>
        </w:rPr>
        <w:t>x</w:t>
      </w:r>
      <w:r>
        <w:rPr>
          <w:rFonts w:ascii="Arial" w:hAnsi="Arial" w:cs="Arial"/>
          <w:sz w:val="22"/>
          <w:szCs w:val="22"/>
        </w:rPr>
        <w:t>MnO</w:t>
      </w:r>
      <w:r>
        <w:rPr>
          <w:rFonts w:ascii="Arial" w:hAnsi="Arial" w:cs="Arial"/>
          <w:sz w:val="22"/>
          <w:szCs w:val="22"/>
          <w:vertAlign w:val="subscript"/>
        </w:rPr>
        <w:t>3</w:t>
      </w:r>
      <w:r>
        <w:rPr>
          <w:rFonts w:ascii="Arial" w:hAnsi="Arial" w:cs="Arial"/>
          <w:sz w:val="22"/>
          <w:szCs w:val="22"/>
        </w:rPr>
        <w:t>, La</w:t>
      </w:r>
      <w:r>
        <w:rPr>
          <w:rFonts w:ascii="Arial" w:hAnsi="Arial" w:cs="Arial"/>
          <w:sz w:val="22"/>
          <w:szCs w:val="22"/>
          <w:vertAlign w:val="subscript"/>
        </w:rPr>
        <w:t>1-x</w:t>
      </w:r>
      <w:r>
        <w:rPr>
          <w:rFonts w:ascii="Arial" w:hAnsi="Arial" w:cs="Arial"/>
          <w:sz w:val="22"/>
          <w:szCs w:val="22"/>
        </w:rPr>
        <w:t>Sr</w:t>
      </w:r>
      <w:r>
        <w:rPr>
          <w:rFonts w:ascii="Arial" w:hAnsi="Arial" w:cs="Arial"/>
          <w:sz w:val="22"/>
          <w:szCs w:val="22"/>
          <w:vertAlign w:val="subscript"/>
        </w:rPr>
        <w:t>x</w:t>
      </w:r>
      <w:r>
        <w:rPr>
          <w:rFonts w:ascii="Arial" w:hAnsi="Arial" w:cs="Arial"/>
          <w:sz w:val="22"/>
          <w:szCs w:val="22"/>
        </w:rPr>
        <w:t>FeO</w:t>
      </w:r>
      <w:r>
        <w:rPr>
          <w:rFonts w:ascii="Arial" w:hAnsi="Arial" w:cs="Arial"/>
          <w:sz w:val="22"/>
          <w:szCs w:val="22"/>
          <w:vertAlign w:val="subscript"/>
        </w:rPr>
        <w:t>3-δ</w:t>
      </w:r>
      <w:r>
        <w:rPr>
          <w:rFonts w:ascii="Arial" w:hAnsi="Arial" w:cs="Arial"/>
          <w:sz w:val="22"/>
          <w:szCs w:val="22"/>
        </w:rPr>
        <w:t>, La</w:t>
      </w:r>
      <w:r>
        <w:rPr>
          <w:rFonts w:ascii="Arial" w:hAnsi="Arial" w:cs="Arial"/>
          <w:sz w:val="22"/>
          <w:szCs w:val="22"/>
          <w:vertAlign w:val="subscript"/>
        </w:rPr>
        <w:t>1-x</w:t>
      </w:r>
      <w:r>
        <w:rPr>
          <w:rFonts w:ascii="Arial" w:hAnsi="Arial" w:cs="Arial"/>
          <w:sz w:val="22"/>
          <w:szCs w:val="22"/>
        </w:rPr>
        <w:t>Sr</w:t>
      </w:r>
      <w:r>
        <w:rPr>
          <w:rFonts w:ascii="Arial" w:hAnsi="Arial" w:cs="Arial"/>
          <w:sz w:val="22"/>
          <w:szCs w:val="22"/>
          <w:vertAlign w:val="subscript"/>
        </w:rPr>
        <w:t>x</w:t>
      </w:r>
      <w:r>
        <w:rPr>
          <w:rFonts w:ascii="Arial" w:hAnsi="Arial" w:cs="Arial"/>
          <w:sz w:val="22"/>
          <w:szCs w:val="22"/>
        </w:rPr>
        <w:t>MnO</w:t>
      </w:r>
      <w:r>
        <w:rPr>
          <w:rFonts w:ascii="Arial" w:hAnsi="Arial" w:cs="Arial"/>
          <w:sz w:val="22"/>
          <w:szCs w:val="22"/>
          <w:vertAlign w:val="subscript"/>
        </w:rPr>
        <w:t>3-δ</w:t>
      </w:r>
      <w:r>
        <w:rPr>
          <w:rFonts w:ascii="Arial" w:hAnsi="Arial" w:cs="Arial"/>
          <w:sz w:val="22"/>
          <w:szCs w:val="22"/>
        </w:rPr>
        <w:t xml:space="preserve"> und La</w:t>
      </w:r>
      <w:r>
        <w:rPr>
          <w:rFonts w:ascii="Arial" w:hAnsi="Arial" w:cs="Arial"/>
          <w:sz w:val="22"/>
          <w:szCs w:val="22"/>
          <w:vertAlign w:val="subscript"/>
        </w:rPr>
        <w:t>2</w:t>
      </w:r>
      <w:r>
        <w:rPr>
          <w:rFonts w:ascii="Arial" w:hAnsi="Arial" w:cs="Arial"/>
          <w:sz w:val="22"/>
          <w:szCs w:val="22"/>
        </w:rPr>
        <w:t>NiO</w:t>
      </w:r>
      <w:r>
        <w:rPr>
          <w:rFonts w:ascii="Arial" w:hAnsi="Arial" w:cs="Arial"/>
          <w:sz w:val="22"/>
          <w:szCs w:val="22"/>
          <w:vertAlign w:val="subscript"/>
        </w:rPr>
        <w:t>4+δ</w:t>
      </w:r>
      <w:r>
        <w:rPr>
          <w:rFonts w:ascii="Arial" w:hAnsi="Arial" w:cs="Arial"/>
          <w:sz w:val="22"/>
          <w:szCs w:val="22"/>
        </w:rPr>
        <w:t xml:space="preserve"> – einen </w:t>
      </w:r>
      <w:r>
        <w:rPr>
          <w:rFonts w:ascii="Arial" w:hAnsi="Arial" w:cs="Arial"/>
          <w:b/>
          <w:bCs/>
          <w:sz w:val="22"/>
          <w:szCs w:val="22"/>
        </w:rPr>
        <w:t>eigenen Ordner mit jeweils individuell angepassten Entwürfen</w:t>
      </w:r>
      <w:r>
        <w:rPr>
          <w:rFonts w:ascii="Arial" w:hAnsi="Arial" w:cs="Arial"/>
          <w:sz w:val="22"/>
          <w:szCs w:val="22"/>
        </w:rPr>
        <w:t xml:space="preserve"> für Feodor Lynen, Emmy Noether und ERC Starting Grant, dazu eine Vergleichsübersicht mit Stärken und Schwächen der fünf Systeme. Angehängt ist zunächst die Vergleichsübersicht; die einzelnen Antragssets schicke ich euch gerne nach, oder wir schauen sie gemeinsam durch. Dabei gilt: </w:t>
      </w:r>
      <w:r>
        <w:rPr>
          <w:rFonts w:ascii="Arial" w:hAnsi="Arial" w:cs="Arial"/>
          <w:b/>
          <w:bCs/>
          <w:sz w:val="22"/>
          <w:szCs w:val="22"/>
        </w:rPr>
        <w:t>Nur die Projektidee selbst stammt von mir.</w:t>
      </w:r>
      <w:r>
        <w:rPr>
          <w:rFonts w:ascii="Arial" w:hAnsi="Arial" w:cs="Arial"/>
          <w:sz w:val="22"/>
          <w:szCs w:val="22"/>
        </w:rPr>
        <w:t xml:space="preserve"> Die gesamte Ausarbeitung – Materialauswahl und -bewertung, die Literaturrecherche und deren Verknüpfung zur Argumentation, die Arbeitspakete und die Budgets – ist Claude-Code-generiert. Immerhin: Inzwischen habe ich das Tool alle 101 Literaturverweise des Portfolios systematisch gegen die Verlagsangaben prüfen lassen – dabei kamen tatsächlich Fehler zum Vorschein (u. a. fünf falsche Erstautoren und ein erfundener Titel), die inzwischen in allen Dokumenten korrigiert sind; auch die systematische Literatursuche je Materialsystem wurde erneut durchgeführt, und die zentralen „Lücken“-Argumente der fünf Systeme haben dabei gehalten (Details im angehängten Prüfdokument Literaturpruefung_2026-08-09). Von mir persönlich gegengeprüft ist der Inhalt aber weiterhin nicht – behandelt insbesondere Zahlenwerte und die inhaltlichen Bewertungen also bitte mit entsprechender Vorsicht und nagelt mich auf nichts davon fest – die Dokumente sollen nur illustrieren, wohin die Reise gehen könnte. Der Vollständigkeit halber: Auch diese Mail ist zu Teilen mit Claude Code entstanden – ihr merkt, ich teste gerade ziemlich konsequent, wo das Tool hilft und wo nicht, und bin ehrlich neugierig, was ihr von der Qualität der Ergebnisse haltet.</w:t>
      </w:r>
    </w:p>
    <w:p w14:paraId="3B6C4F21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Ein Beispiel dafür: Das Lynen-Exposé hat Claude Code auf die Chueh-Gruppe in Stanford zugeschnitten (Vorschlag des Tools nach Abgleich von Themenpassung und Humboldt-Gastgeberkriterien). David, du warst ja dort und kennst Gruppe und Umfeld aus erster Hand – von außen schienen die experimentellen Möglichkeiten (Defektchemie, direkter SSRL-Zugang für XAS) gut zu passen. Ob das aus deiner Innensicht stimmt, wäre für mich eine der wertvollsten Rückmeldungen überhaupt. Genauso interessiert mich deine Meinung zur XAS-Seite der Idee generell.</w:t>
      </w:r>
    </w:p>
    <w:p w14:paraId="452480A0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Meine Fragen an euch:</w:t>
      </w:r>
      <w:r>
        <w:rPr>
          <w:rFonts w:ascii="Arial" w:hAnsi="Arial" w:cs="Arial"/>
          <w:sz w:val="22"/>
          <w:szCs w:val="22"/>
        </w:rPr>
        <w:t xml:space="preserve"> Haltet ihr die Fragestellung für wissenschaftlich tragfähig? Seht ihr Killer-Argumente oder praktische Probleme, die ich übersehe? Und hältst du, Regina, die Richtung Auslandspostdoc → eigene Gruppe grundsätzlich für den richtigen Weg für mich? Mir ist auch wichtig, dass das Ganze sauber komplementär zu unseren Gruppenthemen aufgesetzt wäre – auch dazu gerne deine Sicht.</w:t>
      </w:r>
    </w:p>
    <w:p w14:paraId="24675996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Am liebsten würde ich dazu in den nächsten Wochen mal eine halbe Stunde mit euch zusammensitzen – ganz unverbindlich, mir geht es erst einmal darum, ob ihr es für sinnvoll haltet, dass ich das weiterverfolge.</w:t>
      </w:r>
    </w:p>
    <w:p w14:paraId="2BE492B4" w14:textId="77777777" w:rsidR="002F0DB5" w:rsidRDefault="002F0DB5">
      <w:pPr>
        <w:pStyle w:val="NormalWeb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>Viele Grüße</w:t>
        <w:br/>
        <w:t>Max</w:t>
      </w:r>
    </w:p>
    <w:sectPr w:rsidR="002F0DB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4F5"/>
    <w:rsid w:val="002D14F5"/>
    <w:rsid w:val="002F0DB5"/>
    <w:rsid w:val="00F64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1888E86"/>
  <w15:chartTrackingRefBased/>
  <w15:docId w15:val="{E0602CBF-A395-4AF0-BD05-71B76EF9E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240"/>
      <w:outlineLvl w:val="0"/>
    </w:pPr>
    <w:rPr>
      <w:b/>
      <w:bCs/>
      <w:color w:val="333333"/>
      <w:kern w:val="36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msonormal0">
    <w:name w:val="msonormal"/>
    <w:basedOn w:val="Normal"/>
    <w:pPr>
      <w:spacing w:after="180"/>
    </w:pPr>
  </w:style>
  <w:style w:type="paragraph" w:styleId="NormalWeb">
    <w:name w:val="Normal (Web)"/>
    <w:basedOn w:val="Normal"/>
    <w:uiPriority w:val="99"/>
    <w:semiHidden/>
    <w:unhideWhenUsed/>
    <w:pPr>
      <w:spacing w:after="180"/>
    </w:pPr>
  </w:style>
  <w:style w:type="paragraph" w:customStyle="1" w:styleId="meta">
    <w:name w:val="meta"/>
    <w:basedOn w:val="Normal"/>
    <w:pPr>
      <w:spacing w:before="100" w:beforeAutospacing="1" w:after="280"/>
    </w:pPr>
    <w:rPr>
      <w:color w:val="555555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578</Words>
  <Characters>3295</Characters>
  <Application>Microsoft Office Word</Application>
  <DocSecurity>4</DocSecurity>
  <Lines>27</Lines>
  <Paragraphs>7</Paragraphs>
  <ScaleCrop>false</ScaleCrop>
  <Company/>
  <LinksUpToDate>false</LinksUpToDate>
  <CharactersWithSpaces>3866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Mailentwurf Projektidee an Dittmann und Mueller</dc:title>
  <dc:subject/>
  <dc:creator>Buczek, Max</dc:creator>
  <cp:keywords/>
  <dc:description/>
  <cp:lastModifiedBy>Buczek, Max</cp:lastModifiedBy>
  <cp:revision>2</cp:revision>
  <dcterms:created xsi:type="dcterms:W3CDTF">2026-08-09T14:47:00Z</dcterms:created>
  <dcterms:modified xsi:type="dcterms:W3CDTF">2026-08-09T14:47:00Z</dcterms:modified>
</cp:coreProperties>
</file>