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6388" w14:textId="77777777" w:rsidR="005A2826" w:rsidRDefault="005A2826">
      <w:pPr>
        <w:pStyle w:val="NormalWeb"/>
        <w:jc w:val="right"/>
        <w:rPr>
          <w:rFonts w:ascii="Arial" w:hAnsi="Arial" w:cs="Arial"/>
          <w:color w:val="555555"/>
          <w:sz w:val="21"/>
          <w:szCs w:val="21"/>
        </w:rPr>
      </w:pPr>
      <w:r>
        <w:rPr>
          <w:rFonts w:ascii="Arial" w:hAnsi="Arial" w:cs="Arial"/>
          <w:color w:val="555555"/>
          <w:sz w:val="21"/>
          <w:szCs w:val="21"/>
        </w:rPr>
        <w:t>Alexander von Humboldt Foundation – Feodor Lynen Research Fellowship for Postdoctoral Researchers</w:t>
      </w:r>
    </w:p>
    <w:p w14:paraId="42A614E0" w14:textId="77777777" w:rsidR="005A2826" w:rsidRDefault="005A2826">
      <w:pPr>
        <w:pStyle w:val="NormalWeb"/>
        <w:rPr>
          <w:rFonts w:ascii="Arial" w:hAnsi="Arial" w:cs="Arial"/>
          <w:sz w:val="21"/>
          <w:szCs w:val="21"/>
        </w:rPr>
      </w:pPr>
      <w:r>
        <w:rPr>
          <w:rFonts w:ascii="Arial" w:hAnsi="Arial" w:cs="Arial"/>
          <w:sz w:val="21"/>
          <w:szCs w:val="21"/>
        </w:rPr>
        <w:t> </w:t>
      </w:r>
    </w:p>
    <w:p w14:paraId="787B9F40" w14:textId="77777777" w:rsidR="005A2826" w:rsidRDefault="005A2826">
      <w:pPr>
        <w:pStyle w:val="NormalWeb"/>
        <w:rPr>
          <w:rFonts w:ascii="Arial" w:hAnsi="Arial" w:cs="Arial"/>
          <w:sz w:val="21"/>
          <w:szCs w:val="21"/>
        </w:rPr>
      </w:pPr>
      <w:r>
        <w:rPr>
          <w:rFonts w:ascii="Arial" w:hAnsi="Arial" w:cs="Arial"/>
          <w:sz w:val="21"/>
          <w:szCs w:val="21"/>
        </w:rPr>
        <w:t> </w:t>
      </w:r>
    </w:p>
    <w:p w14:paraId="39995E33" w14:textId="77777777" w:rsidR="005A2826" w:rsidRDefault="005A2826">
      <w:pPr>
        <w:pStyle w:val="NormalWeb"/>
        <w:rPr>
          <w:rFonts w:ascii="Arial" w:hAnsi="Arial" w:cs="Arial"/>
          <w:sz w:val="21"/>
          <w:szCs w:val="21"/>
        </w:rPr>
      </w:pPr>
      <w:r>
        <w:rPr>
          <w:rFonts w:ascii="Arial" w:hAnsi="Arial" w:cs="Arial"/>
          <w:sz w:val="21"/>
          <w:szCs w:val="21"/>
        </w:rPr>
        <w:t> </w:t>
      </w:r>
    </w:p>
    <w:p w14:paraId="4BBF9F6C" w14:textId="77777777" w:rsidR="005A2826" w:rsidRDefault="005A2826">
      <w:pPr>
        <w:pStyle w:val="center"/>
        <w:spacing w:before="0" w:beforeAutospacing="0" w:after="140"/>
        <w:rPr>
          <w:rFonts w:ascii="Arial" w:hAnsi="Arial" w:cs="Arial"/>
          <w:sz w:val="30"/>
          <w:szCs w:val="30"/>
        </w:rPr>
      </w:pPr>
      <w:r>
        <w:rPr>
          <w:rFonts w:ascii="Arial" w:hAnsi="Arial" w:cs="Arial"/>
          <w:b/>
          <w:bCs/>
          <w:sz w:val="30"/>
          <w:szCs w:val="30"/>
        </w:rPr>
        <w:t>Application for a Feodor Lynen Research Fellowship</w:t>
      </w:r>
    </w:p>
    <w:p w14:paraId="1153C45C" w14:textId="77777777" w:rsidR="005A2826" w:rsidRDefault="005A2826">
      <w:pPr>
        <w:pStyle w:val="NormalWeb"/>
        <w:rPr>
          <w:rFonts w:ascii="Arial" w:hAnsi="Arial" w:cs="Arial"/>
          <w:sz w:val="21"/>
          <w:szCs w:val="21"/>
        </w:rPr>
      </w:pPr>
      <w:r>
        <w:rPr>
          <w:rFonts w:ascii="Arial" w:hAnsi="Arial" w:cs="Arial"/>
          <w:sz w:val="21"/>
          <w:szCs w:val="21"/>
        </w:rPr>
        <w:t> </w:t>
      </w:r>
    </w:p>
    <w:p w14:paraId="55A0B3E5" w14:textId="77777777" w:rsidR="005A2826" w:rsidRDefault="005A2826">
      <w:pPr>
        <w:pStyle w:val="center"/>
        <w:spacing w:before="0" w:beforeAutospacing="0" w:after="140"/>
        <w:rPr>
          <w:rFonts w:ascii="Arial" w:hAnsi="Arial" w:cs="Arial"/>
          <w:sz w:val="26"/>
          <w:szCs w:val="26"/>
        </w:rPr>
      </w:pPr>
      <w:r>
        <w:rPr>
          <w:rFonts w:ascii="Arial" w:hAnsi="Arial" w:cs="Arial"/>
          <w:b/>
          <w:bCs/>
          <w:sz w:val="26"/>
          <w:szCs w:val="26"/>
        </w:rPr>
        <w:t>Covalency as an Experimental Descriptor of Memristive Switching: the La</w:t>
      </w:r>
      <w:r>
        <w:rPr>
          <w:rFonts w:ascii="Arial" w:hAnsi="Arial" w:cs="Arial"/>
          <w:b/>
          <w:bCs/>
          <w:sz w:val="26"/>
          <w:szCs w:val="26"/>
          <w:vertAlign w:val="subscript"/>
        </w:rPr>
        <w:t>1-x</w:t>
      </w:r>
      <w:r>
        <w:rPr>
          <w:rFonts w:ascii="Arial" w:hAnsi="Arial" w:cs="Arial"/>
          <w:b/>
          <w:bCs/>
          <w:sz w:val="26"/>
          <w:szCs w:val="26"/>
        </w:rPr>
        <w:t>Sr</w:t>
      </w:r>
      <w:r>
        <w:rPr>
          <w:rFonts w:ascii="Arial" w:hAnsi="Arial" w:cs="Arial"/>
          <w:b/>
          <w:bCs/>
          <w:sz w:val="26"/>
          <w:szCs w:val="26"/>
          <w:vertAlign w:val="subscript"/>
        </w:rPr>
        <w:t>x</w:t>
      </w:r>
      <w:r>
        <w:rPr>
          <w:rFonts w:ascii="Arial" w:hAnsi="Arial" w:cs="Arial"/>
          <w:b/>
          <w:bCs/>
          <w:sz w:val="26"/>
          <w:szCs w:val="26"/>
        </w:rPr>
        <w:t>MnO</w:t>
      </w:r>
      <w:r>
        <w:rPr>
          <w:rFonts w:ascii="Arial" w:hAnsi="Arial" w:cs="Arial"/>
          <w:b/>
          <w:bCs/>
          <w:sz w:val="26"/>
          <w:szCs w:val="26"/>
          <w:vertAlign w:val="subscript"/>
        </w:rPr>
        <w:t>3-δ</w:t>
      </w:r>
      <w:r>
        <w:rPr>
          <w:rFonts w:ascii="Arial" w:hAnsi="Arial" w:cs="Arial"/>
          <w:b/>
          <w:bCs/>
          <w:sz w:val="26"/>
          <w:szCs w:val="26"/>
        </w:rPr>
        <w:t xml:space="preserve"> Model Series</w:t>
      </w:r>
    </w:p>
    <w:p w14:paraId="1122340F" w14:textId="77777777" w:rsidR="005A2826" w:rsidRDefault="005A2826">
      <w:pPr>
        <w:pStyle w:val="NormalWeb"/>
        <w:rPr>
          <w:rFonts w:ascii="Arial" w:hAnsi="Arial" w:cs="Arial"/>
          <w:sz w:val="21"/>
          <w:szCs w:val="21"/>
        </w:rPr>
      </w:pPr>
      <w:r>
        <w:rPr>
          <w:rFonts w:ascii="Arial" w:hAnsi="Arial" w:cs="Arial"/>
          <w:sz w:val="21"/>
          <w:szCs w:val="21"/>
        </w:rPr>
        <w:t> </w:t>
      </w:r>
    </w:p>
    <w:p w14:paraId="6833CB16" w14:textId="77777777" w:rsidR="005A2826" w:rsidRDefault="005A2826">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17571632"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02E834" w14:textId="77777777" w:rsidR="005A2826" w:rsidRDefault="005A2826">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92EB3B"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Dr. Max Buczek, Postdoctoral Researcher, Peter Grünberg Institute (PGI-7), Forschungszentrum Jülich, Germany</w:t>
            </w:r>
          </w:p>
        </w:tc>
      </w:tr>
      <w:tr w:rsidR="00000000" w14:paraId="05D5FCF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FB34E4" w14:textId="77777777" w:rsidR="005A2826" w:rsidRDefault="005A2826">
            <w:pPr>
              <w:spacing w:before="120" w:after="200"/>
              <w:rPr>
                <w:rFonts w:ascii="Arial" w:eastAsia="Times New Roman" w:hAnsi="Arial" w:cs="Arial"/>
                <w:sz w:val="19"/>
                <w:szCs w:val="19"/>
              </w:rPr>
            </w:pPr>
            <w:r>
              <w:rPr>
                <w:rFonts w:ascii="Arial" w:eastAsia="Times New Roman" w:hAnsi="Arial" w:cs="Arial"/>
                <w:b/>
                <w:bCs/>
                <w:sz w:val="19"/>
                <w:szCs w:val="19"/>
              </w:rPr>
              <w:t>Host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28AF32"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 xml:space="preserve">Prof. Dr. William C. Chueh, Department of Materials Science and Engineering, Stanford University, USA – Friedrich Wilhelm Bessel Research Award winner of the AvH Foundation (2021), member of the Humboldt Network</w:t>
            </w:r>
          </w:p>
        </w:tc>
      </w:tr>
      <w:tr w:rsidR="00000000" w14:paraId="26C2C7B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D574EFF" w14:textId="77777777" w:rsidR="005A2826" w:rsidRDefault="005A2826">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7E8BB8"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Stanford University / SLAC National Accelerator Laboratory (Stanford Synchrotron Radiation Lightsource, SSRL)</w:t>
            </w:r>
          </w:p>
        </w:tc>
      </w:tr>
      <w:tr w:rsidR="00000000" w14:paraId="26432CB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74A853" w14:textId="77777777" w:rsidR="005A2826" w:rsidRDefault="005A2826">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6A40C2"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24 months, starting [e.g. Q2/2027; fellowship must begin 2–12 months after the selection meeting]</w:t>
            </w:r>
          </w:p>
        </w:tc>
      </w:tr>
      <w:tr w:rsidR="00000000" w14:paraId="735CF25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165073" w14:textId="77777777" w:rsidR="005A2826" w:rsidRDefault="005A2826">
            <w:pPr>
              <w:spacing w:before="120" w:after="200"/>
              <w:rPr>
                <w:rFonts w:ascii="Arial" w:eastAsia="Times New Roman" w:hAnsi="Arial" w:cs="Arial"/>
                <w:sz w:val="19"/>
                <w:szCs w:val="19"/>
              </w:rPr>
            </w:pPr>
            <w:r>
              <w:rPr>
                <w:rFonts w:ascii="Arial" w:eastAsia="Times New Roman" w:hAnsi="Arial" w:cs="Arial"/>
                <w:b/>
                <w:bCs/>
                <w:sz w:val="19"/>
                <w:szCs w:val="19"/>
              </w:rPr>
              <w:t>Programme 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51936ED"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Postdoctoral researchers (doctorate 2026, i.e. within the four-year window)</w:t>
            </w:r>
          </w:p>
        </w:tc>
      </w:tr>
      <w:tr w:rsidR="00000000" w14:paraId="7C7F4D1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CA086A" w14:textId="77777777" w:rsidR="005A2826" w:rsidRDefault="005A2826">
            <w:pPr>
              <w:spacing w:before="120" w:after="200"/>
              <w:rPr>
                <w:rFonts w:ascii="Arial" w:eastAsia="Times New Roman" w:hAnsi="Arial" w:cs="Arial"/>
                <w:sz w:val="19"/>
                <w:szCs w:val="19"/>
              </w:rPr>
            </w:pPr>
            <w:r>
              <w:rPr>
                <w:rFonts w:ascii="Arial" w:eastAsia="Times New Roman" w:hAnsi="Arial" w:cs="Arial"/>
                <w:b/>
                <w:bCs/>
                <w:sz w:val="19"/>
                <w:szCs w:val="19"/>
              </w:rPr>
              <w:t>Targeted selection round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B19A76"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[February/June/October; submission recommended 4–7 months in advance]</w:t>
            </w:r>
          </w:p>
        </w:tc>
      </w:tr>
    </w:tbl>
    <w:p w14:paraId="3ABCB230" w14:textId="77777777" w:rsidR="005A2826" w:rsidRDefault="005A2826">
      <w:pPr>
        <w:pStyle w:val="NormalWeb"/>
        <w:rPr>
          <w:rFonts w:ascii="Arial" w:hAnsi="Arial" w:cs="Arial"/>
          <w:sz w:val="21"/>
          <w:szCs w:val="21"/>
        </w:rPr>
      </w:pPr>
      <w:r>
        <w:rPr>
          <w:rFonts w:ascii="Arial" w:hAnsi="Arial" w:cs="Arial"/>
          <w:sz w:val="21"/>
          <w:szCs w:val="21"/>
        </w:rPr>
        <w:t> </w:t>
      </w:r>
    </w:p>
    <w:p w14:paraId="740C9EA5" w14:textId="77777777" w:rsidR="005A2826" w:rsidRDefault="005A2826">
      <w:pPr>
        <w:pStyle w:val="muted"/>
        <w:spacing w:before="0" w:beforeAutospacing="0" w:after="140"/>
        <w:rPr>
          <w:rFonts w:ascii="Arial" w:hAnsi="Arial" w:cs="Arial"/>
        </w:rPr>
      </w:pPr>
      <w:r>
        <w:rPr>
          <w:rFonts w:ascii="Arial" w:hAnsi="Arial" w:cs="Arial"/>
        </w:rPr>
        <w:t>Note: This document contains the research proposal (exposé, max. 5 pages according to AvH requirements) and a checklist of the further application documents. The project is the 24-month nucleus, tailored to a research stay abroad, of the applicant’s longer-term research programme (Emmy Noether/ERC perspective after returning to Germany); per AvH requirements, the exposé must be coordinated with the host before submission.</w:t>
      </w:r>
    </w:p>
    <w:p w14:paraId="232F1D86" w14:textId="77777777" w:rsidR="005A2826" w:rsidRDefault="005A2826">
      <w:pPr>
        <w:pStyle w:val="Heading1"/>
        <w:pageBreakBefore/>
        <w:rPr>
          <w:rFonts w:ascii="Arial" w:eastAsia="Times New Roman" w:hAnsi="Arial" w:cs="Arial"/>
        </w:rPr>
      </w:pPr>
      <w:r>
        <w:rPr>
          <w:rFonts w:ascii="Arial" w:eastAsia="Times New Roman" w:hAnsi="Arial" w:cs="Arial"/>
        </w:rPr>
        <w:lastRenderedPageBreak/>
        <w:t>Research Proposal (Exposé)</w:t>
      </w:r>
    </w:p>
    <w:p w14:paraId="618C61A3" w14:textId="77777777" w:rsidR="005A2826" w:rsidRDefault="005A2826">
      <w:pPr>
        <w:pStyle w:val="Heading2"/>
        <w:rPr>
          <w:rFonts w:ascii="Arial" w:eastAsia="Times New Roman" w:hAnsi="Arial" w:cs="Arial"/>
        </w:rPr>
      </w:pPr>
      <w:r>
        <w:rPr>
          <w:rFonts w:ascii="Arial" w:eastAsia="Times New Roman" w:hAnsi="Arial" w:cs="Arial"/>
        </w:rPr>
        <w:t>1  Research question and scientific significance</w:t>
      </w:r>
    </w:p>
    <w:p w14:paraId="618AA0C0" w14:textId="77777777" w:rsidR="005A2826" w:rsidRDefault="005A2826">
      <w:pPr>
        <w:pStyle w:val="NormalWeb"/>
        <w:rPr>
          <w:rFonts w:ascii="Arial" w:hAnsi="Arial" w:cs="Arial"/>
          <w:sz w:val="21"/>
          <w:szCs w:val="21"/>
        </w:rPr>
      </w:pPr>
      <w:r>
        <w:rPr>
          <w:rFonts w:ascii="Arial" w:hAnsi="Arial" w:cs="Arial"/>
          <w:sz w:val="21"/>
          <w:szCs w:val="21"/>
        </w:rPr>
        <w:t>Memristive devices based on the valence change mechanism (VCM) switch their resistance through field-driven creation and migration of oxygen vacancies (V</w:t>
      </w:r>
      <w:r>
        <w:rPr>
          <w:rFonts w:ascii="Arial" w:hAnsi="Arial" w:cs="Arial"/>
          <w:sz w:val="21"/>
          <w:szCs w:val="21"/>
          <w:vertAlign w:val="subscript"/>
        </w:rPr>
        <w:t>O</w:t>
      </w:r>
      <w:r>
        <w:rPr>
          <w:rFonts w:ascii="Arial" w:hAnsi="Arial" w:cs="Arial"/>
          <w:sz w:val="21"/>
          <w:szCs w:val="21"/>
        </w:rPr>
        <w:t>) [1–3]. The oxygen-vacancy formation energy (E</w:t>
      </w:r>
      <w:r>
        <w:rPr>
          <w:rFonts w:ascii="Arial" w:hAnsi="Arial" w:cs="Arial"/>
          <w:sz w:val="21"/>
          <w:szCs w:val="21"/>
          <w:vertAlign w:val="subscript"/>
        </w:rPr>
        <w:t>V</w:t>
      </w:r>
      <w:r>
        <w:rPr>
          <w:rFonts w:ascii="Arial" w:hAnsi="Arial" w:cs="Arial"/>
          <w:sz w:val="21"/>
          <w:szCs w:val="21"/>
        </w:rPr>
        <w:t>) enters all quantitative switching models exponentially [3, 4] – and yet it has never been measured systematically how E</w:t>
      </w:r>
      <w:r>
        <w:rPr>
          <w:rFonts w:ascii="Arial" w:hAnsi="Arial" w:cs="Arial"/>
          <w:sz w:val="21"/>
          <w:szCs w:val="21"/>
          <w:vertAlign w:val="subscript"/>
        </w:rPr>
        <w:t>V</w:t>
      </w:r>
      <w:r>
        <w:rPr>
          <w:rFonts w:ascii="Arial" w:hAnsi="Arial" w:cs="Arial"/>
          <w:sz w:val="21"/>
          <w:szCs w:val="21"/>
        </w:rPr>
        <w:t xml:space="preserve"> determines the central figures of merit (ON/OFF ratio, forming voltage, retention). Energy research, by contrast, has quantitatively established that E</w:t>
      </w:r>
      <w:r>
        <w:rPr>
          <w:rFonts w:ascii="Arial" w:hAnsi="Arial" w:cs="Arial"/>
          <w:sz w:val="21"/>
          <w:szCs w:val="21"/>
          <w:vertAlign w:val="subscript"/>
        </w:rPr>
        <w:t>V</w:t>
      </w:r>
      <w:r>
        <w:rPr>
          <w:rFonts w:ascii="Arial" w:hAnsi="Arial" w:cs="Arial"/>
          <w:sz w:val="21"/>
          <w:szCs w:val="21"/>
        </w:rPr>
        <w:t xml:space="preserve"> in perovskites is controlled by the metal–oxygen covalency: the O-2p band centre scales linearly with E</w:t>
      </w:r>
      <w:r>
        <w:rPr>
          <w:rFonts w:ascii="Arial" w:hAnsi="Arial" w:cs="Arial"/>
          <w:sz w:val="21"/>
          <w:szCs w:val="21"/>
          <w:vertAlign w:val="subscript"/>
        </w:rPr>
        <w:t>V</w:t>
      </w:r>
      <w:r>
        <w:rPr>
          <w:rFonts w:ascii="Arial" w:hAnsi="Arial" w:cs="Arial"/>
          <w:sz w:val="21"/>
          <w:szCs w:val="21"/>
        </w:rPr>
        <w:t xml:space="preserve"> and serves as a descriptor for catalysis and oxygen transport [5–8]. My project connects these two worlds experimentally for the first time – using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xml:space="preserve"> (LSMO), the canonical covalency-tuning perovskite series.</w:t>
      </w:r>
    </w:p>
    <w:p w14:paraId="1E45CD3A" w14:textId="77777777" w:rsidR="005A2826" w:rsidRDefault="005A2826">
      <w:pPr>
        <w:pStyle w:val="NormalWeb"/>
        <w:rPr>
          <w:rFonts w:ascii="Arial" w:hAnsi="Arial" w:cs="Arial"/>
          <w:sz w:val="21"/>
          <w:szCs w:val="21"/>
        </w:rPr>
      </w:pPr>
      <w:r>
        <w:rPr>
          <w:rFonts w:ascii="Arial" w:hAnsi="Arial" w:cs="Arial"/>
          <w:sz w:val="21"/>
          <w:szCs w:val="21"/>
        </w:rPr>
        <w:t xml:space="preserve">LSMO is the </w:t>
      </w:r>
      <w:r>
        <w:rPr>
          <w:rFonts w:ascii="Arial" w:hAnsi="Arial" w:cs="Arial"/>
          <w:i/>
          <w:iCs/>
          <w:sz w:val="21"/>
          <w:szCs w:val="21"/>
        </w:rPr>
        <w:t>canonical</w:t>
      </w:r>
      <w:r>
        <w:rPr>
          <w:rFonts w:ascii="Arial" w:hAnsi="Arial" w:cs="Arial"/>
          <w:sz w:val="21"/>
          <w:szCs w:val="21"/>
        </w:rPr>
        <w:t xml:space="preserve"> system for the covalency axis: the classic controlled-valence X-ray absorption study of Abbate et al. established on exactly this series how Sr</w:t>
      </w:r>
      <w:r>
        <w:rPr>
          <w:rFonts w:ascii="Arial" w:hAnsi="Arial" w:cs="Arial"/>
          <w:sz w:val="21"/>
          <w:szCs w:val="21"/>
          <w:vertAlign w:val="superscript"/>
        </w:rPr>
        <w:t>2+</w:t>
      </w:r>
      <w:r>
        <w:rPr>
          <w:rFonts w:ascii="Arial" w:hAnsi="Arial" w:cs="Arial"/>
          <w:sz w:val="21"/>
          <w:szCs w:val="21"/>
        </w:rPr>
        <w:t xml:space="preserve"> substitution creates doped holes with dominant O-2p character and systematically strengthens the O-K pre-edge [9] – the covalency-vs-doping spectroscopy of perovskites was, historically, calibrated on LSMO [9–11]. The switching axis exists but is strikingly underdeveloped: LSMO has been switched as an active layer (multilevel recording by conductive-AFM [12], forming-free interface-type devices [13], reconfigurable VO2/LSMO heterostructures [24]), and in-situ TEM has directly visualised oxygen-vacancy-driven, reversible structural and resistive transitions in La</w:t>
      </w:r>
      <w:r>
        <w:rPr>
          <w:rFonts w:ascii="Arial" w:hAnsi="Arial" w:cs="Arial"/>
          <w:sz w:val="21"/>
          <w:szCs w:val="21"/>
          <w:vertAlign w:val="subscript"/>
        </w:rPr>
        <w:t>2/3</w:t>
      </w:r>
      <w:r>
        <w:rPr>
          <w:rFonts w:ascii="Arial" w:hAnsi="Arial" w:cs="Arial"/>
          <w:sz w:val="21"/>
          <w:szCs w:val="21"/>
        </w:rPr>
        <w:t>Sr</w:t>
      </w:r>
      <w:r>
        <w:rPr>
          <w:rFonts w:ascii="Arial" w:hAnsi="Arial" w:cs="Arial"/>
          <w:sz w:val="21"/>
          <w:szCs w:val="21"/>
          <w:vertAlign w:val="subscript"/>
        </w:rPr>
        <w:t>1/3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[14] – yet only a single three-point composition series exists, on sputtered films with reactive Al electrodes [15], supported by one DFT study of vacancy formation in Al/LSMO devices [16]; the recent manganite device review confirms this gap [23]. An epitaxial, statistically robust LSMO switching series with inert electrodes does not exist – the gap this project closes. The known design constraint is addressed openly: above x ≈ 0.17 LSMO becomes metallic, which limits the high-resistance state. The series therefore concentrates on x = 0–0.4 with thin active layers on Nb:SrTiO</w:t>
      </w:r>
      <w:r>
        <w:rPr>
          <w:rFonts w:ascii="Arial" w:hAnsi="Arial" w:cs="Arial"/>
          <w:sz w:val="21"/>
          <w:szCs w:val="21"/>
          <w:vertAlign w:val="subscript"/>
        </w:rPr>
        <w:t>3</w:t>
      </w:r>
      <w:r>
        <w:rPr>
          <w:rFonts w:ascii="Arial" w:hAnsi="Arial" w:cs="Arial"/>
          <w:sz w:val="21"/>
          <w:szCs w:val="21"/>
        </w:rPr>
        <w:t>, where interface-type Schottky switching remains resistive – and the dense sampling across the insulator–metal boundary turns the constraint into a testable feature: does the switching window collapse exactly where covalency-driven metallicity sets in, as the descriptor predicts? Related composition series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with its optimum at x ≈ 0.4 [17], electron-doped Gd</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[18]) serve as consistency anchors. My central hypothesis: the switching window scales with the XAS-measured covalency and collapses at the doping-driven crossover – the sharpest possible test of where descriptor physics ends.</w:t>
      </w:r>
    </w:p>
    <w:p w14:paraId="76DEFDFD" w14:textId="77777777" w:rsidR="005A2826" w:rsidRDefault="005A2826">
      <w:pPr>
        <w:pStyle w:val="Heading2"/>
        <w:rPr>
          <w:rFonts w:ascii="Arial" w:eastAsia="Times New Roman" w:hAnsi="Arial" w:cs="Arial"/>
        </w:rPr>
      </w:pPr>
      <w:r>
        <w:rPr>
          <w:rFonts w:ascii="Arial" w:eastAsia="Times New Roman" w:hAnsi="Arial" w:cs="Arial"/>
        </w:rPr>
        <w:t>2  Why the Chueh group at Stanford is the ideal place</w:t>
      </w:r>
    </w:p>
    <w:p w14:paraId="63C2BD88" w14:textId="77777777" w:rsidR="005A2826" w:rsidRDefault="005A2826">
      <w:pPr>
        <w:pStyle w:val="NormalWeb"/>
        <w:rPr>
          <w:rFonts w:ascii="Arial" w:hAnsi="Arial" w:cs="Arial"/>
          <w:sz w:val="21"/>
          <w:szCs w:val="21"/>
        </w:rPr>
      </w:pPr>
      <w:r>
        <w:rPr>
          <w:rFonts w:ascii="Arial" w:hAnsi="Arial" w:cs="Arial"/>
          <w:sz w:val="21"/>
          <w:szCs w:val="21"/>
        </w:rPr>
        <w:t>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[19–21]. The group’s seminal work on the redox activity of oxygen anions in oxygen-deficient perovskites [20] is a direct methodological blueprint for my project; the Nature Materials study on atomically defined LaNiO</w:t>
      </w:r>
      <w:r>
        <w:rPr>
          <w:rFonts w:ascii="Arial" w:hAnsi="Arial" w:cs="Arial"/>
          <w:sz w:val="21"/>
          <w:szCs w:val="21"/>
          <w:vertAlign w:val="subscript"/>
        </w:rPr>
        <w:t>3</w:t>
      </w:r>
      <w:r>
        <w:rPr>
          <w:rFonts w:ascii="Arial" w:hAnsi="Arial" w:cs="Arial"/>
          <w:sz w:val="21"/>
          <w:szCs w:val="21"/>
        </w:rPr>
        <w:t xml:space="preserve"> surfaces [21] – with Christoph Baeumer from the Jülich school as first author – 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As a Bessel Research Award winner (2021), Prof. Chueh is a member of the Humboldt Network and has repeatedly hosted German postdocs – the host eligibility required by the programme is given.</w:t>
      </w:r>
    </w:p>
    <w:p w14:paraId="40EDF687" w14:textId="77777777" w:rsidR="005A2826" w:rsidRDefault="005A2826">
      <w:pPr>
        <w:pStyle w:val="Heading2"/>
        <w:rPr>
          <w:rFonts w:ascii="Arial" w:eastAsia="Times New Roman" w:hAnsi="Arial" w:cs="Arial"/>
        </w:rPr>
      </w:pPr>
      <w:r>
        <w:rPr>
          <w:rFonts w:ascii="Arial" w:eastAsia="Times New Roman" w:hAnsi="Arial" w:cs="Arial"/>
        </w:rPr>
        <w:t>3  Work programme (24 months)</w:t>
      </w:r>
    </w:p>
    <w:p w14:paraId="04177702" w14:textId="77777777" w:rsidR="005A2826" w:rsidRDefault="005A2826">
      <w:pPr>
        <w:pStyle w:val="Heading3"/>
        <w:rPr>
          <w:rFonts w:ascii="Arial" w:eastAsia="Times New Roman" w:hAnsi="Arial" w:cs="Arial"/>
        </w:rPr>
      </w:pPr>
      <w:r>
        <w:rPr>
          <w:rFonts w:ascii="Arial" w:eastAsia="Times New Roman" w:hAnsi="Arial" w:cs="Arial"/>
        </w:rPr>
        <w:t xml:space="preserve">WP1 – Synthesis and descriptor measurement of the LSMO series (months 1–10)</w:t>
      </w:r>
    </w:p>
    <w:p w14:paraId="133D32AA" w14:textId="77777777" w:rsidR="005A2826" w:rsidRDefault="005A2826">
      <w:pPr>
        <w:pStyle w:val="NormalWeb"/>
        <w:rPr>
          <w:rFonts w:ascii="Arial" w:hAnsi="Arial" w:cs="Arial"/>
          <w:sz w:val="21"/>
          <w:szCs w:val="21"/>
        </w:rPr>
      </w:pPr>
      <w:r>
        <w:rPr>
          <w:rFonts w:ascii="Arial" w:hAnsi="Arial" w:cs="Arial"/>
          <w:sz w:val="21"/>
          <w:szCs w:val="21"/>
        </w:rPr>
        <w:t>PLD growth of epitaxial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xml:space="preserve"> films (x = 0; 0.1; 0.17; 0.25; 0.33; 0.4 – dense sampling across the insulator–metal boundary) on Nb:SrTiO</w:t>
      </w:r>
      <w:r>
        <w:rPr>
          <w:rFonts w:ascii="Arial" w:hAnsi="Arial" w:cs="Arial"/>
          <w:sz w:val="21"/>
          <w:szCs w:val="21"/>
          <w:vertAlign w:val="subscript"/>
        </w:rPr>
        <w:t>3</w:t>
      </w:r>
      <w:r>
        <w:rPr>
          <w:rFonts w:ascii="Arial" w:hAnsi="Arial" w:cs="Arial"/>
          <w:sz w:val="21"/>
          <w:szCs w:val="21"/>
        </w:rPr>
        <w:t xml:space="preserve"> substrates in the Stanford/SLAC thin-film laboratories; structural validation (XRD, AFM); cation and oxygen stoichiometry (XPS, RBS where required). In parallel, first XAS campaign at SSRL: O-K pre-edge quantification following [10], benchmarked directly against the canonical Abbate dataset [9], and Mn-L</w:t>
      </w:r>
      <w:r>
        <w:rPr>
          <w:rFonts w:ascii="Arial" w:hAnsi="Arial" w:cs="Arial"/>
          <w:sz w:val="21"/>
          <w:szCs w:val="21"/>
          <w:vertAlign w:val="subscript"/>
        </w:rPr>
        <w:t>2,3</w:t>
      </w:r>
      <w:r>
        <w:rPr>
          <w:rFonts w:ascii="Arial" w:hAnsi="Arial" w:cs="Arial"/>
          <w:sz w:val="21"/>
          <w:szCs w:val="21"/>
        </w:rPr>
        <w:t xml:space="preserve"> valence analysis for every composition → experimental covalency scale of the series. </w:t>
      </w:r>
      <w:r>
        <w:rPr>
          <w:rFonts w:ascii="Arial" w:hAnsi="Arial" w:cs="Arial"/>
          <w:i/>
          <w:iCs/>
          <w:sz w:val="21"/>
          <w:szCs w:val="21"/>
        </w:rPr>
        <w:t>Milestone M1 (month 10): validated sample series with complete descriptor set.</w:t>
      </w:r>
    </w:p>
    <w:p w14:paraId="2DCD5A4F" w14:textId="77777777" w:rsidR="005A2826" w:rsidRDefault="005A2826">
      <w:pPr>
        <w:pStyle w:val="Heading3"/>
        <w:rPr>
          <w:rFonts w:ascii="Arial" w:eastAsia="Times New Roman" w:hAnsi="Arial" w:cs="Arial"/>
        </w:rPr>
      </w:pPr>
      <w:r>
        <w:rPr>
          <w:rFonts w:ascii="Arial" w:eastAsia="Times New Roman" w:hAnsi="Arial" w:cs="Arial"/>
        </w:rPr>
        <w:t xml:space="preserve">WP2 – Devices and switching characterisation (months 8–18)</w:t>
      </w:r>
    </w:p>
    <w:p w14:paraId="3A0E452B" w14:textId="77777777" w:rsidR="005A2826" w:rsidRDefault="005A2826">
      <w:pPr>
        <w:pStyle w:val="NormalWeb"/>
        <w:rPr>
          <w:rFonts w:ascii="Arial" w:hAnsi="Arial" w:cs="Arial"/>
          <w:sz w:val="21"/>
          <w:szCs w:val="21"/>
        </w:rPr>
      </w:pPr>
      <w:r>
        <w:rPr>
          <w:rFonts w:ascii="Arial" w:hAnsi="Arial" w:cs="Arial"/>
          <w:sz w:val="21"/>
          <w:szCs w:val="21"/>
        </w:rPr>
        <w:t>Processing of identical Pt/LSMO/Nb:SrTiO</w:t>
      </w:r>
      <w:r>
        <w:rPr>
          <w:rFonts w:ascii="Arial" w:hAnsi="Arial" w:cs="Arial"/>
          <w:sz w:val="21"/>
          <w:szCs w:val="21"/>
          <w:vertAlign w:val="subscript"/>
        </w:rPr>
        <w:t>3</w:t>
      </w:r>
      <w:r>
        <w:rPr>
          <w:rFonts w:ascii="Arial" w:hAnsi="Arial" w:cs="Arial"/>
          <w:sz w:val="21"/>
          <w:szCs w:val="21"/>
        </w:rPr>
        <w:t xml:space="preserve"> cell arrays with thin active layers (≥ 30 cells per composition, photolithographic patterning; interface-type Schottky geometry keeps the devices resistive even towards the metallic side); quasistatic and pulsed switching characterisation following the statistics protocol established in my doctorate (ON/OFF at defined read-out voltage, forming requirement, switching kinetics, temperature-accelerated retention, endurance). </w:t>
      </w:r>
      <w:r>
        <w:rPr>
          <w:rFonts w:ascii="Arial" w:hAnsi="Arial" w:cs="Arial"/>
          <w:i/>
          <w:iCs/>
          <w:sz w:val="21"/>
          <w:szCs w:val="21"/>
        </w:rPr>
        <w:t>Milestone M2 (month 18): switching figures of merit as a function of x with robust statistics.</w:t>
      </w:r>
    </w:p>
    <w:p w14:paraId="50804C80" w14:textId="77777777" w:rsidR="005A2826" w:rsidRDefault="005A2826">
      <w:pPr>
        <w:pStyle w:val="Heading3"/>
        <w:rPr>
          <w:rFonts w:ascii="Arial" w:eastAsia="Times New Roman" w:hAnsi="Arial" w:cs="Arial"/>
        </w:rPr>
      </w:pPr>
      <w:r>
        <w:rPr>
          <w:rFonts w:ascii="Arial" w:eastAsia="Times New Roman" w:hAnsi="Arial" w:cs="Arial"/>
        </w:rPr>
        <w:t xml:space="preserve">WP3 – Correlation, operando validation and publication (months 16–24)</w:t>
      </w:r>
    </w:p>
    <w:p w14:paraId="6503A815" w14:textId="77777777" w:rsidR="005A2826" w:rsidRDefault="005A2826">
      <w:pPr>
        <w:pStyle w:val="NormalWeb"/>
        <w:rPr>
          <w:rFonts w:ascii="Arial" w:hAnsi="Arial" w:cs="Arial"/>
          <w:sz w:val="21"/>
          <w:szCs w:val="21"/>
        </w:rPr>
      </w:pPr>
      <w:r>
        <w:rPr>
          <w:rFonts w:ascii="Arial" w:hAnsi="Arial" w:cs="Arial"/>
          <w:sz w:val="21"/>
          <w:szCs w:val="21"/>
        </w:rPr>
        <w:t>Correlation analysis covalency (XAS) ↔ E</w:t>
      </w:r>
      <w:r>
        <w:rPr>
          <w:rFonts w:ascii="Arial" w:hAnsi="Arial" w:cs="Arial"/>
          <w:sz w:val="21"/>
          <w:szCs w:val="21"/>
          <w:vertAlign w:val="subscript"/>
        </w:rPr>
        <w:t>V</w:t>
      </w:r>
      <w:r>
        <w:rPr>
          <w:rFonts w:ascii="Arial" w:hAnsi="Arial" w:cs="Arial"/>
          <w:sz w:val="21"/>
          <w:szCs w:val="21"/>
        </w:rPr>
        <w:t xml:space="preserve"> (literature descriptor models [5–8]) ↔ switching metrics; test of the collapse hypothesis at the doping-driven crossover. Second SSRL campaign: XAS on switched cells (ex-situ before/after switching, operando if successful) to verify that the composition-dependent differences indeed rest on different V</w:t>
      </w:r>
      <w:r>
        <w:rPr>
          <w:rFonts w:ascii="Arial" w:hAnsi="Arial" w:cs="Arial"/>
          <w:sz w:val="21"/>
          <w:szCs w:val="21"/>
          <w:vertAlign w:val="subscript"/>
        </w:rPr>
        <w:t>O</w:t>
      </w:r>
      <w:r>
        <w:rPr>
          <w:rFonts w:ascii="Arial" w:hAnsi="Arial" w:cs="Arial"/>
          <w:sz w:val="21"/>
          <w:szCs w:val="21"/>
        </w:rPr>
        <w:t xml:space="preserve"> dynamics. Publication of the first covalency-resolved memristor study of a perovskite series; dataset released following FAIR principles. </w:t>
      </w:r>
      <w:r>
        <w:rPr>
          <w:rFonts w:ascii="Arial" w:hAnsi="Arial" w:cs="Arial"/>
          <w:i/>
          <w:iCs/>
          <w:sz w:val="21"/>
          <w:szCs w:val="21"/>
        </w:rPr>
        <w:t>Milestone M3 (month 24): submitted publication(s), public dataset.</w:t>
      </w:r>
    </w:p>
    <w:p w14:paraId="585428CF" w14:textId="77777777" w:rsidR="005A2826" w:rsidRDefault="005A2826">
      <w:pPr>
        <w:pStyle w:val="Heading2"/>
        <w:rPr>
          <w:rFonts w:ascii="Arial" w:eastAsia="Times New Roman" w:hAnsi="Arial" w:cs="Arial"/>
        </w:rPr>
      </w:pPr>
      <w:r>
        <w:rPr>
          <w:rFonts w:ascii="Arial" w:eastAsia="Times New Roman" w:hAnsi="Arial" w:cs="Arial"/>
        </w:rPr>
        <w:t>4  Timeline</w:t>
      </w:r>
    </w:p>
    <w:tbl>
      <w:tblPr>
        <w:tblW w:w="5000" w:type="pct"/>
        <w:tblCellMar>
          <w:top w:w="15" w:type="dxa"/>
          <w:left w:w="15" w:type="dxa"/>
          <w:bottom w:w="15" w:type="dxa"/>
          <w:right w:w="15" w:type="dxa"/>
        </w:tblCellMar>
        <w:tblLook w:val="04A0" w:firstRow="1" w:lastRow="0" w:firstColumn="1" w:lastColumn="0" w:noHBand="0" w:noVBand="1"/>
      </w:tblPr>
      <w:tblGrid>
        <w:gridCol w:w="3623"/>
        <w:gridCol w:w="680"/>
        <w:gridCol w:w="679"/>
        <w:gridCol w:w="679"/>
        <w:gridCol w:w="679"/>
        <w:gridCol w:w="679"/>
        <w:gridCol w:w="679"/>
        <w:gridCol w:w="679"/>
        <w:gridCol w:w="679"/>
      </w:tblGrid>
      <w:tr w:rsidR="00000000" w14:paraId="3C56B207" w14:textId="77777777">
        <w:tc>
          <w:tcPr>
            <w:tcW w:w="2000" w:type="pct"/>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2FAE7EB8"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54401370"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Q1</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39368B2D"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Q2</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7C860EDE"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Q3</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3DF54C77"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Q4</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068347C7"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Q5</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756548E6"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Q6</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49AA94D1"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Q7</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301BFA1B"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Q8</w:t>
            </w:r>
          </w:p>
        </w:tc>
      </w:tr>
      <w:tr w:rsidR="00000000" w14:paraId="250C1C7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F896AD"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WP1 Synthesis + XAS descriptors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B94669"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CF02A2"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A4EE8C"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6047B4"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AB8BE0" w14:textId="77777777" w:rsidR="005A2826" w:rsidRDefault="005A2826">
            <w:pPr>
              <w:spacing w:before="120" w:after="200"/>
              <w:jc w:val="center"/>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21CEC9" w14:textId="77777777" w:rsidR="005A2826" w:rsidRDefault="005A2826">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0700FC" w14:textId="77777777" w:rsidR="005A2826" w:rsidRDefault="005A2826">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BDA913" w14:textId="77777777" w:rsidR="005A2826" w:rsidRDefault="005A2826">
            <w:pPr>
              <w:spacing w:before="120" w:after="200"/>
              <w:jc w:val="center"/>
              <w:rPr>
                <w:rFonts w:eastAsia="Times New Roman"/>
                <w:sz w:val="20"/>
                <w:szCs w:val="20"/>
              </w:rPr>
            </w:pPr>
          </w:p>
        </w:tc>
      </w:tr>
      <w:tr w:rsidR="00000000" w14:paraId="1995492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ACBD8C"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WP2 Devices + switching statistics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F0862A" w14:textId="77777777" w:rsidR="005A2826" w:rsidRDefault="005A2826">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B57DF16" w14:textId="77777777" w:rsidR="005A2826" w:rsidRDefault="005A2826">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162311"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4BEF02"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1D0388"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1D5025"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98902E" w14:textId="77777777" w:rsidR="005A2826" w:rsidRDefault="005A2826">
            <w:pPr>
              <w:spacing w:before="120" w:after="200"/>
              <w:jc w:val="center"/>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E00E66" w14:textId="77777777" w:rsidR="005A2826" w:rsidRDefault="005A2826">
            <w:pPr>
              <w:spacing w:before="120" w:after="200"/>
              <w:jc w:val="center"/>
              <w:rPr>
                <w:rFonts w:eastAsia="Times New Roman"/>
                <w:sz w:val="20"/>
                <w:szCs w:val="20"/>
              </w:rPr>
            </w:pPr>
          </w:p>
        </w:tc>
      </w:tr>
      <w:tr w:rsidR="00000000" w14:paraId="306C324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243ECE"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WP3 Correlation + operando + publication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C8A0BF2" w14:textId="77777777" w:rsidR="005A2826" w:rsidRDefault="005A2826">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F93C12" w14:textId="77777777" w:rsidR="005A2826" w:rsidRDefault="005A2826">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28273CE" w14:textId="77777777" w:rsidR="005A2826" w:rsidRDefault="005A2826">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A16393" w14:textId="77777777" w:rsidR="005A2826" w:rsidRDefault="005A2826">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75F204" w14:textId="77777777" w:rsidR="005A2826" w:rsidRDefault="005A2826">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D267B5"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E165F2"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10AA91" w14:textId="77777777" w:rsidR="005A2826" w:rsidRDefault="005A2826">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41D09638" w14:textId="77777777" w:rsidR="005A2826" w:rsidRDefault="005A2826">
      <w:pPr>
        <w:pStyle w:val="Heading2"/>
        <w:rPr>
          <w:rFonts w:ascii="Arial" w:eastAsia="Times New Roman" w:hAnsi="Arial" w:cs="Arial"/>
        </w:rPr>
      </w:pPr>
      <w:r>
        <w:rPr>
          <w:rFonts w:ascii="Arial" w:eastAsia="Times New Roman" w:hAnsi="Arial" w:cs="Arial"/>
        </w:rPr>
        <w:t>5  Career perspective and return strategy</w:t>
      </w:r>
    </w:p>
    <w:p w14:paraId="7A1FBB6E" w14:textId="77777777" w:rsidR="005A2826" w:rsidRDefault="005A2826">
      <w:pPr>
        <w:pStyle w:val="NormalWeb"/>
        <w:rPr>
          <w:rFonts w:ascii="Arial" w:hAnsi="Arial" w:cs="Arial"/>
          <w:sz w:val="21"/>
          <w:szCs w:val="21"/>
        </w:rPr>
      </w:pPr>
      <w:r>
        <w:rPr>
          <w:rFonts w:ascii="Arial" w:hAnsi="Arial" w:cs="Arial"/>
          <w:sz w:val="21"/>
          <w:szCs w:val="21"/>
        </w:rPr>
        <w:t xml:space="preserve">The project is the deliberate building block between my doctorate (memristive devices, PLD, switching statistics) and my longer-term goal of establishing my own junior research group in Germany on descriptor-based materials development for memristive oxides (Emmy Noether proposal in preparation; ERC Starting Grant as an alternative). The stay with Prof. Chueh closes the one competence gap of my profile – quantitative synchrotron XAS and defect thermodynamics – and at the same time delivers the empirical foundation (the covalency-resolved LSMO dataset, anchored to the canonical spectroscopy of the field) for the larger programme of a “treasure map” of memristive oxides in analogy to the bonding-descriptor maps of Wuttig et al. [22]. The subsequent group programme then extends the methodology to the ferrite and cobaltite families, where larger E</w:t>
      </w:r>
      <w:r>
        <w:rPr>
          <w:rFonts w:ascii="Arial" w:hAnsi="Arial" w:cs="Arial"/>
          <w:sz w:val="21"/>
          <w:szCs w:val="21"/>
          <w:vertAlign w:val="subscript"/>
        </w:rPr>
        <w:t>V</w:t>
      </w:r>
      <w:r>
        <w:rPr>
          <w:rFonts w:ascii="Arial" w:hAnsi="Arial" w:cs="Arial"/>
          <w:sz w:val="21"/>
          <w:szCs w:val="21"/>
        </w:rPr>
        <w:t xml:space="preserve"> spans and topotactic mechanism boundaries extend the map beyond the manganite anchor point. The return is concretely planned: reintegration into the German oxide-electronics environment (FZ Jülich/RWTH Aachen, JARA), supported by the Feodor Lynen Return Fellowship, with submission of the group proposal during the final year of the stay. The Stanford/SSRL collaboration built up abroad will be continued as the transatlantic bridge of the future group.</w:t>
      </w:r>
    </w:p>
    <w:p w14:paraId="2E666A0A" w14:textId="77777777" w:rsidR="005A2826" w:rsidRDefault="005A2826">
      <w:pPr>
        <w:pStyle w:val="Heading2"/>
        <w:rPr>
          <w:rFonts w:ascii="Arial" w:eastAsia="Times New Roman" w:hAnsi="Arial" w:cs="Arial"/>
        </w:rPr>
      </w:pPr>
      <w:r>
        <w:rPr>
          <w:rFonts w:ascii="Arial" w:eastAsia="Times New Roman" w:hAnsi="Arial" w:cs="Arial"/>
        </w:rPr>
        <w:t>6  References</w:t>
      </w:r>
    </w:p>
    <w:p w14:paraId="29FEDDDF" w14:textId="77777777" w:rsidR="005A2826" w:rsidRDefault="005A2826">
      <w:pPr>
        <w:spacing w:after="60"/>
        <w:ind w:hanging="480"/>
        <w:divId w:val="85422075"/>
        <w:rPr>
          <w:rFonts w:ascii="Arial" w:hAnsi="Arial" w:cs="Arial"/>
          <w:sz w:val="18"/>
          <w:szCs w:val="18"/>
        </w:rPr>
      </w:pPr>
      <w:r>
        <w:rPr>
          <w:rFonts w:ascii="Arial" w:hAnsi="Arial" w:cs="Arial"/>
          <w:sz w:val="18"/>
          <w:szCs w:val="18"/>
        </w:rPr>
        <w:t>[1] R. Waser, M. Aono, Nanoionics-based resistive switching memories. Nature Materials 6, 833–840 (2007).</w:t>
      </w:r>
    </w:p>
    <w:p w14:paraId="31927E7E" w14:textId="77777777" w:rsidR="005A2826" w:rsidRDefault="005A2826">
      <w:pPr>
        <w:spacing w:after="60"/>
        <w:ind w:hanging="480"/>
        <w:divId w:val="85422075"/>
        <w:rPr>
          <w:rFonts w:ascii="Arial" w:hAnsi="Arial" w:cs="Arial"/>
          <w:sz w:val="18"/>
          <w:szCs w:val="18"/>
        </w:rPr>
      </w:pPr>
      <w:r>
        <w:rPr>
          <w:rFonts w:ascii="Arial" w:hAnsi="Arial" w:cs="Arial"/>
          <w:sz w:val="18"/>
          <w:szCs w:val="18"/>
        </w:rPr>
        <w:t>[2] R. Waser, R. Dittmann, G. Staikov, K. Szot, Redox-Based Resistive Switching Memories – Nanoionic Mechanisms, Prospects, and Challenges. Advanced Materials 21, 2632–2663 (2009).</w:t>
      </w:r>
    </w:p>
    <w:p w14:paraId="5C0B7061" w14:textId="77777777" w:rsidR="005A2826" w:rsidRDefault="005A2826">
      <w:pPr>
        <w:spacing w:after="60"/>
        <w:ind w:hanging="480"/>
        <w:divId w:val="85422075"/>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3DE31374" w14:textId="77777777" w:rsidR="005A2826" w:rsidRDefault="005A2826">
      <w:pPr>
        <w:spacing w:after="60"/>
        <w:ind w:hanging="480"/>
        <w:divId w:val="85422075"/>
        <w:rPr>
          <w:rFonts w:ascii="Arial" w:hAnsi="Arial" w:cs="Arial"/>
          <w:sz w:val="18"/>
          <w:szCs w:val="18"/>
        </w:rPr>
      </w:pPr>
      <w:r>
        <w:rPr>
          <w:rFonts w:ascii="Arial" w:hAnsi="Arial" w:cs="Arial"/>
          <w:sz w:val="18"/>
          <w:szCs w:val="18"/>
        </w:rPr>
        <w:t>[4] S. Menzel, M. Waters, A. Marchewka, U. Böttger, R. Dittmann, R. Waser, Origin of the Ultra-nonlinear Switching Kinetics in Oxide-Based Resistive Switches. Advanced Functional Materials 21, 4487–4492 (2011).</w:t>
      </w:r>
    </w:p>
    <w:p w14:paraId="4B6E174A" w14:textId="77777777" w:rsidR="005A2826" w:rsidRDefault="005A2826">
      <w:pPr>
        <w:spacing w:after="60"/>
        <w:ind w:hanging="480"/>
        <w:divId w:val="85422075"/>
        <w:rPr>
          <w:rFonts w:ascii="Arial" w:hAnsi="Arial" w:cs="Arial"/>
          <w:sz w:val="18"/>
          <w:szCs w:val="18"/>
        </w:rPr>
      </w:pPr>
      <w:r>
        <w:rPr>
          <w:rFonts w:ascii="Arial" w:hAnsi="Arial" w:cs="Arial"/>
          <w:sz w:val="18"/>
          <w:szCs w:val="18"/>
        </w:rPr>
        <w:t>[5] Y.-L. Lee, J. Kleis, J. Rossmeisl, Y. Shao-Horn, D. Morgan, Prediction of solid oxide fuel cell cathode activity with first-principles descriptors. Energy &amp; Environmental Science 4, 3966–3970 (2011).</w:t>
      </w:r>
    </w:p>
    <w:p w14:paraId="59805D07" w14:textId="77777777" w:rsidR="005A2826" w:rsidRDefault="005A2826">
      <w:pPr>
        <w:spacing w:after="60"/>
        <w:ind w:hanging="480"/>
        <w:divId w:val="85422075"/>
        <w:rPr>
          <w:rFonts w:ascii="Arial" w:hAnsi="Arial" w:cs="Arial"/>
          <w:sz w:val="18"/>
          <w:szCs w:val="18"/>
        </w:rPr>
      </w:pPr>
      <w:r>
        <w:rPr>
          <w:rFonts w:ascii="Arial" w:hAnsi="Arial" w:cs="Arial"/>
          <w:sz w:val="18"/>
          <w:szCs w:val="18"/>
        </w:rPr>
        <w:t>[6] R. Jacobs, J. Hwang, Y. Shao-Horn, D. Morgan, Assessing Correlations of Perovskite Catalytic Performance with Electronic Structure Descriptors. Chemistry of Materials 31, 785–797 (2019).</w:t>
      </w:r>
    </w:p>
    <w:p w14:paraId="2C7DCC02" w14:textId="77777777" w:rsidR="005A2826" w:rsidRDefault="005A2826">
      <w:pPr>
        <w:spacing w:after="60"/>
        <w:ind w:hanging="480"/>
        <w:divId w:val="85422075"/>
        <w:rPr>
          <w:rFonts w:ascii="Arial" w:hAnsi="Arial" w:cs="Arial"/>
          <w:sz w:val="18"/>
          <w:szCs w:val="18"/>
        </w:rPr>
      </w:pPr>
      <w:r>
        <w:rPr>
          <w:rFonts w:ascii="Arial" w:hAnsi="Arial" w:cs="Arial"/>
          <w:sz w:val="18"/>
          <w:szCs w:val="18"/>
        </w:rPr>
        <w:t>[7] A. M. Deml, V. Stevanović, C. L. Muhich, C. B. Musgrave, R. O’Hayre, Oxide enthalpy of formation and band gap energy as accurate descriptors of oxygen vacancy formation energetics. Energy &amp; Environmental Science 7, 1996–2004 (2014).</w:t>
      </w:r>
    </w:p>
    <w:p w14:paraId="710822DE" w14:textId="77777777" w:rsidR="005A2826" w:rsidRDefault="005A2826">
      <w:pPr>
        <w:spacing w:after="60"/>
        <w:ind w:hanging="480"/>
        <w:divId w:val="85422075"/>
        <w:rPr>
          <w:rFonts w:ascii="Arial" w:hAnsi="Arial" w:cs="Arial"/>
          <w:sz w:val="18"/>
          <w:szCs w:val="18"/>
        </w:rPr>
      </w:pPr>
      <w:r>
        <w:rPr>
          <w:rFonts w:ascii="Arial" w:hAnsi="Arial" w:cs="Arial"/>
          <w:sz w:val="18"/>
          <w:szCs w:val="18"/>
        </w:rPr>
        <w:t>[8] R. B. Wexler, G. Sai Gautam, E. B. Stechel, E. A. Carter, Factors Governing Oxygen Vacancy Formation in Oxide Perovskites. Journal of the American Chemical Society 143, 13212–13227 (2021).</w:t>
      </w:r>
    </w:p>
    <w:p w14:paraId="602E9D0D" w14:textId="77777777" w:rsidR="005A2826" w:rsidRDefault="005A2826">
      <w:pPr>
        <w:spacing w:after="60"/>
        <w:ind w:hanging="480"/>
        <w:divId w:val="85422075"/>
        <w:rPr>
          <w:rFonts w:ascii="Arial" w:hAnsi="Arial" w:cs="Arial"/>
          <w:sz w:val="18"/>
          <w:szCs w:val="18"/>
        </w:rPr>
      </w:pPr>
      <w:r>
        <w:rPr>
          <w:rFonts w:ascii="Arial" w:hAnsi="Arial" w:cs="Arial"/>
          <w:sz w:val="18"/>
          <w:szCs w:val="18"/>
        </w:rPr>
        <w:t>[9]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774BE60B" w14:textId="77777777" w:rsidR="005A2826" w:rsidRDefault="005A2826">
      <w:pPr>
        <w:spacing w:after="60"/>
        <w:ind w:hanging="480"/>
        <w:divId w:val="85422075"/>
        <w:rPr>
          <w:rFonts w:ascii="Arial" w:hAnsi="Arial" w:cs="Arial"/>
          <w:sz w:val="18"/>
          <w:szCs w:val="18"/>
        </w:rPr>
      </w:pPr>
      <w:r>
        <w:rPr>
          <w:rFonts w:ascii="Arial" w:hAnsi="Arial" w:cs="Arial"/>
          <w:sz w:val="18"/>
          <w:szCs w:val="18"/>
        </w:rPr>
        <w:t>[10] J. Suntivich et al., Estimating Hybridization of Transition Metal and Oxygen States in Perovskites from O K-edge X-ray Absorption Spectroscopy. Journal of Physical Chemistry C 118, 1856–1863 (2014).</w:t>
      </w:r>
    </w:p>
    <w:p w14:paraId="35C52A89" w14:textId="77777777" w:rsidR="005A2826" w:rsidRDefault="005A2826">
      <w:pPr>
        <w:spacing w:after="60"/>
        <w:ind w:hanging="480"/>
        <w:divId w:val="85422075"/>
        <w:rPr>
          <w:rFonts w:ascii="Arial" w:hAnsi="Arial" w:cs="Arial"/>
          <w:sz w:val="18"/>
          <w:szCs w:val="18"/>
        </w:rPr>
      </w:pPr>
      <w:r>
        <w:rPr>
          <w:rFonts w:ascii="Arial" w:hAnsi="Arial" w:cs="Arial"/>
          <w:sz w:val="18"/>
          <w:szCs w:val="18"/>
        </w:rPr>
        <w:t>[11] F. Frati, M. O. J. Y. Hunault, F. M. F. de Groot, Oxygen K-edge X-ray Absorption Spectra. Chemical Reviews 120, 4056–4110 (2020).</w:t>
      </w:r>
    </w:p>
    <w:p w14:paraId="67FD8B08" w14:textId="77777777" w:rsidR="005A2826" w:rsidRDefault="005A2826">
      <w:pPr>
        <w:spacing w:after="60"/>
        <w:ind w:hanging="480"/>
        <w:divId w:val="85422075"/>
        <w:rPr>
          <w:rFonts w:ascii="Arial" w:hAnsi="Arial" w:cs="Arial"/>
          <w:sz w:val="18"/>
          <w:szCs w:val="18"/>
        </w:rPr>
      </w:pPr>
      <w:r>
        <w:rPr>
          <w:rFonts w:ascii="Arial" w:hAnsi="Arial" w:cs="Arial"/>
          <w:sz w:val="18"/>
          <w:szCs w:val="18"/>
        </w:rPr>
        <w:t>[12] C. Moreno, C. Munuera, S. Valencia, F. Kronast, X. Obradors, C. Ocal, Reversible resistive switching and multilevel recording in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thin films for low cost nonvolatile memories. Nano Letters 10, 3828–3835 (2010).</w:t>
      </w:r>
    </w:p>
    <w:p w14:paraId="04CB93C4" w14:textId="77777777" w:rsidR="005A2826" w:rsidRDefault="005A2826">
      <w:pPr>
        <w:spacing w:after="60"/>
        <w:ind w:hanging="480"/>
        <w:divId w:val="85422075"/>
        <w:rPr>
          <w:rFonts w:ascii="Arial" w:hAnsi="Arial" w:cs="Arial"/>
          <w:sz w:val="18"/>
          <w:szCs w:val="18"/>
        </w:rPr>
      </w:pPr>
      <w:r>
        <w:rPr>
          <w:rFonts w:ascii="Arial" w:hAnsi="Arial" w:cs="Arial"/>
          <w:sz w:val="18"/>
          <w:szCs w:val="18"/>
        </w:rPr>
        <w:t>[13] M. Liu et al., Nanoscale-thick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for memristor devices with negative differential resistance-coupled resistive switching behavior. ACS Applied Nano Materials 7, 6139–6147 (2024).</w:t>
      </w:r>
    </w:p>
    <w:p w14:paraId="10F08239" w14:textId="77777777" w:rsidR="005A2826" w:rsidRDefault="005A2826">
      <w:pPr>
        <w:spacing w:after="60"/>
        <w:ind w:hanging="480"/>
        <w:divId w:val="85422075"/>
        <w:rPr>
          <w:rFonts w:ascii="Arial" w:hAnsi="Arial" w:cs="Arial"/>
          <w:sz w:val="18"/>
          <w:szCs w:val="18"/>
        </w:rPr>
      </w:pPr>
      <w:r>
        <w:rPr>
          <w:rFonts w:ascii="Arial" w:hAnsi="Arial" w:cs="Arial"/>
          <w:sz w:val="18"/>
          <w:szCs w:val="18"/>
        </w:rPr>
        <w:t>[14] L. Yao, S. Inkinen, S. van Dijken, Direct observation of oxygen vacancy-driven structural and resistive phase transitions in La</w:t>
      </w:r>
      <w:r>
        <w:rPr>
          <w:rFonts w:ascii="Arial" w:hAnsi="Arial" w:cs="Arial"/>
          <w:sz w:val="18"/>
          <w:szCs w:val="18"/>
          <w:vertAlign w:val="subscript"/>
        </w:rPr>
        <w:t>2/3</w:t>
      </w:r>
      <w:r>
        <w:rPr>
          <w:rFonts w:ascii="Arial" w:hAnsi="Arial" w:cs="Arial"/>
          <w:sz w:val="18"/>
          <w:szCs w:val="18"/>
        </w:rPr>
        <w:t>Sr</w:t>
      </w:r>
      <w:r>
        <w:rPr>
          <w:rFonts w:ascii="Arial" w:hAnsi="Arial" w:cs="Arial"/>
          <w:sz w:val="18"/>
          <w:szCs w:val="18"/>
          <w:vertAlign w:val="subscript"/>
        </w:rPr>
        <w:t>1/3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Nature Communications 8, 14544 (2017).</w:t>
      </w:r>
    </w:p>
    <w:p w14:paraId="75C08B23" w14:textId="77777777" w:rsidR="005A2826" w:rsidRDefault="005A2826">
      <w:pPr>
        <w:spacing w:after="60"/>
        <w:ind w:hanging="480"/>
        <w:divId w:val="85422075"/>
        <w:rPr>
          <w:rFonts w:ascii="Arial" w:hAnsi="Arial" w:cs="Arial"/>
          <w:sz w:val="18"/>
          <w:szCs w:val="18"/>
        </w:rPr>
      </w:pPr>
      <w:r>
        <w:rPr>
          <w:rFonts w:ascii="Arial" w:hAnsi="Arial" w:cs="Arial"/>
          <w:sz w:val="18"/>
          <w:szCs w:val="18"/>
        </w:rPr>
        <w:t>[15] S. G. Choi, H.-S. Lee, H. Choi, S.-W. Chung, H.-H. Park, The effect of Sr concentration on resistive switching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Thin Solid Films 529, 352–355 (2013).</w:t>
      </w:r>
    </w:p>
    <w:p w14:paraId="76A6B406" w14:textId="77777777" w:rsidR="005A2826" w:rsidRDefault="005A2826">
      <w:pPr>
        <w:spacing w:after="60"/>
        <w:ind w:hanging="480"/>
        <w:divId w:val="85422075"/>
        <w:rPr>
          <w:rFonts w:ascii="Arial" w:hAnsi="Arial" w:cs="Arial"/>
          <w:sz w:val="18"/>
          <w:szCs w:val="18"/>
        </w:rPr>
      </w:pPr>
      <w:r>
        <w:rPr>
          <w:rFonts w:ascii="Arial" w:hAnsi="Arial" w:cs="Arial"/>
          <w:sz w:val="18"/>
          <w:szCs w:val="18"/>
        </w:rPr>
        <w:t>[16] N. Lee, Y. Lansac, H. Hwang, Y. H. Jang, Switching mechanism of Al/La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resistance random access memory. I. Oxygen vacancy formation in perovskites. RSC Advances 5, 102772–102779 (2015), DOI 10.1039/C5RA21982E.</w:t>
      </w:r>
    </w:p>
    <w:p w14:paraId="74554330" w14:textId="77777777" w:rsidR="005A2826" w:rsidRDefault="005A2826">
      <w:pPr>
        <w:spacing w:after="60"/>
        <w:ind w:hanging="480"/>
        <w:divId w:val="85422075"/>
        <w:rPr>
          <w:rFonts w:ascii="Arial" w:hAnsi="Arial" w:cs="Arial"/>
          <w:sz w:val="18"/>
          <w:szCs w:val="18"/>
        </w:rPr>
      </w:pPr>
      <w:r>
        <w:rPr>
          <w:rFonts w:ascii="Arial" w:hAnsi="Arial" w:cs="Arial"/>
          <w:sz w:val="18"/>
          <w:szCs w:val="18"/>
        </w:rPr>
        <w:t>[17]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05FF6FC4" w14:textId="77777777" w:rsidR="005A2826" w:rsidRDefault="005A2826">
      <w:pPr>
        <w:spacing w:after="60"/>
        <w:ind w:hanging="480"/>
        <w:divId w:val="85422075"/>
        <w:rPr>
          <w:rFonts w:ascii="Arial" w:hAnsi="Arial" w:cs="Arial"/>
          <w:sz w:val="18"/>
          <w:szCs w:val="18"/>
        </w:rPr>
      </w:pPr>
      <w:r>
        <w:rPr>
          <w:rFonts w:ascii="Arial" w:hAnsi="Arial" w:cs="Arial"/>
          <w:sz w:val="18"/>
          <w:szCs w:val="18"/>
        </w:rPr>
        <w:t>[18]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18365–18371 (2021).</w:t>
      </w:r>
    </w:p>
    <w:p w14:paraId="336F7843" w14:textId="77777777" w:rsidR="005A2826" w:rsidRDefault="005A2826">
      <w:pPr>
        <w:spacing w:after="60"/>
        <w:ind w:hanging="480"/>
        <w:divId w:val="85422075"/>
        <w:rPr>
          <w:rFonts w:ascii="Arial" w:hAnsi="Arial" w:cs="Arial"/>
          <w:sz w:val="18"/>
          <w:szCs w:val="18"/>
        </w:rPr>
      </w:pPr>
      <w:r>
        <w:rPr>
          <w:rFonts w:ascii="Arial" w:hAnsi="Arial" w:cs="Arial"/>
          <w:sz w:val="18"/>
          <w:szCs w:val="18"/>
        </w:rPr>
        <w:t>[19] W. C. Chueh, C. Falter, M. Abbott, D. Scipio, P. Furler, S. M. Haile, A. Steinfeld, High-Flux Solar-Driven Thermochemical Dissociation of CO</w:t>
      </w:r>
      <w:r>
        <w:rPr>
          <w:rFonts w:ascii="Arial" w:hAnsi="Arial" w:cs="Arial"/>
          <w:sz w:val="18"/>
          <w:szCs w:val="18"/>
          <w:vertAlign w:val="subscript"/>
        </w:rPr>
        <w:t>2</w:t>
      </w:r>
      <w:r>
        <w:rPr>
          <w:rFonts w:ascii="Arial" w:hAnsi="Arial" w:cs="Arial"/>
          <w:sz w:val="18"/>
          <w:szCs w:val="18"/>
        </w:rPr>
        <w:t xml:space="preserve"> and H</w:t>
      </w:r>
      <w:r>
        <w:rPr>
          <w:rFonts w:ascii="Arial" w:hAnsi="Arial" w:cs="Arial"/>
          <w:sz w:val="18"/>
          <w:szCs w:val="18"/>
          <w:vertAlign w:val="subscript"/>
        </w:rPr>
        <w:t>2</w:t>
      </w:r>
      <w:r>
        <w:rPr>
          <w:rFonts w:ascii="Arial" w:hAnsi="Arial" w:cs="Arial"/>
          <w:sz w:val="18"/>
          <w:szCs w:val="18"/>
        </w:rPr>
        <w:t>O Using Nonstoichiometric Ceria. Science 330, 1797–1801 (2010).</w:t>
      </w:r>
    </w:p>
    <w:p w14:paraId="566575CF" w14:textId="77777777" w:rsidR="005A2826" w:rsidRDefault="005A2826">
      <w:pPr>
        <w:spacing w:after="60"/>
        <w:ind w:hanging="480"/>
        <w:divId w:val="85422075"/>
        <w:rPr>
          <w:rFonts w:ascii="Arial" w:hAnsi="Arial" w:cs="Arial"/>
          <w:sz w:val="18"/>
          <w:szCs w:val="18"/>
        </w:rPr>
      </w:pPr>
      <w:r>
        <w:rPr>
          <w:rFonts w:ascii="Arial" w:hAnsi="Arial" w:cs="Arial"/>
          <w:sz w:val="18"/>
          <w:szCs w:val="18"/>
        </w:rPr>
        <w:t>[20] D. N. Mueller, M. L. Machala, H. Bluhm, W. C. Chueh, Redox activity of surface oxygen anions in oxygen-deficient perovskite oxides during electrochemical reactions. Nature Communications 6, 6097 (2015).</w:t>
      </w:r>
    </w:p>
    <w:p w14:paraId="0D656D61" w14:textId="77777777" w:rsidR="005A2826" w:rsidRDefault="005A2826">
      <w:pPr>
        <w:spacing w:after="60"/>
        <w:ind w:hanging="480"/>
        <w:divId w:val="85422075"/>
        <w:rPr>
          <w:rFonts w:ascii="Arial" w:hAnsi="Arial" w:cs="Arial"/>
          <w:sz w:val="18"/>
          <w:szCs w:val="18"/>
        </w:rPr>
      </w:pPr>
      <w:r>
        <w:rPr>
          <w:rFonts w:ascii="Arial" w:hAnsi="Arial" w:cs="Arial"/>
          <w:sz w:val="18"/>
          <w:szCs w:val="18"/>
        </w:rPr>
        <w:t>[21] C. Baeumer, J. Li, Q. Lu et al. (with W. C. Chueh), Tuning electrochemically driven surface transformation in atomically flat LaNiO</w:t>
      </w:r>
      <w:r>
        <w:rPr>
          <w:rFonts w:ascii="Arial" w:hAnsi="Arial" w:cs="Arial"/>
          <w:sz w:val="18"/>
          <w:szCs w:val="18"/>
          <w:vertAlign w:val="subscript"/>
        </w:rPr>
        <w:t>3</w:t>
      </w:r>
      <w:r>
        <w:rPr>
          <w:rFonts w:ascii="Arial" w:hAnsi="Arial" w:cs="Arial"/>
          <w:sz w:val="18"/>
          <w:szCs w:val="18"/>
        </w:rPr>
        <w:t xml:space="preserve"> thin films for enhanced water electrolysis. Nature Materials 20, 674–682 (2021).</w:t>
      </w:r>
    </w:p>
    <w:p w14:paraId="0721DA4A" w14:textId="77777777" w:rsidR="005A2826" w:rsidRDefault="005A2826">
      <w:pPr>
        <w:spacing w:after="60"/>
        <w:ind w:hanging="480"/>
        <w:divId w:val="85422075"/>
        <w:rPr>
          <w:rFonts w:ascii="Arial" w:hAnsi="Arial" w:cs="Arial"/>
          <w:sz w:val="18"/>
          <w:szCs w:val="18"/>
        </w:rPr>
      </w:pPr>
      <w:r>
        <w:rPr>
          <w:rFonts w:ascii="Arial" w:hAnsi="Arial" w:cs="Arial"/>
          <w:sz w:val="18"/>
          <w:szCs w:val="18"/>
        </w:rPr>
        <w:t>[22] M. Wuttig et al., Revisiting the Nature of Chemical Bonding in Chalcogenides to Explain and Design their Properties. Advanced Materials 35, 2208485 (2023).</w:t>
      </w:r>
    </w:p>
    <w:p>
      <w:pPr>
        <w:spacing w:after="60"/>
        <w:ind w:hanging="480"/>
        <w:divId w:val="85422075"/>
        <w:rPr>
          <w:rFonts w:ascii="Arial" w:hAnsi="Arial" w:cs="Arial"/>
          <w:sz w:val="18"/>
          <w:szCs w:val="18"/>
        </w:rPr>
      </w:pPr>
      <w:r>
        <w:rPr>
          <w:rFonts w:ascii="Arial" w:hAnsi="Arial" w:cs="Arial"/>
          <w:sz w:val="18"/>
          <w:szCs w:val="18"/>
        </w:rPr>
        <w:t xml:space="preserve">[23] A. Schulman, H. Huhtinen, P. Paturi, Manganite memristive devices: recent progress and emerging opportunities. Journal of Physics D: Applied Physics 57, 422001 (2024).</w:t>
      </w:r>
    </w:p>
    <w:p>
      <w:pPr>
        <w:spacing w:after="60"/>
        <w:ind w:hanging="480"/>
        <w:divId w:val="85422075"/>
        <w:rPr>
          <w:rFonts w:ascii="Arial" w:hAnsi="Arial" w:cs="Arial"/>
          <w:sz w:val="18"/>
          <w:szCs w:val="18"/>
        </w:rPr>
      </w:pPr>
      <w:r>
        <w:rPr>
          <w:rFonts w:ascii="Arial" w:hAnsi="Arial" w:cs="Arial"/>
          <w:sz w:val="18"/>
          <w:szCs w:val="18"/>
        </w:rPr>
        <w:t xml:space="preserve">[24] S. Kunwar et al., Reconfigurable Resistive Switching in VO2/La0.7Sr0.3MnO3/Al2O3 (0001) Memristive Devices for Neuromorphic Computing. ACS Applied Materials &amp; Interfaces 16, 19103–19111 (2024).</w:t>
      </w:r>
    </w:p>
    <w:p w14:paraId="38BFF744" w14:textId="77777777" w:rsidR="005A2826" w:rsidRDefault="005A2826">
      <w:pPr>
        <w:spacing w:after="60"/>
        <w:ind w:hanging="480"/>
        <w:divId w:val="85422075"/>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377DAFE4" w14:textId="77777777" w:rsidR="005A2826" w:rsidRDefault="005A2826">
      <w:pPr>
        <w:spacing w:after="60"/>
        <w:ind w:hanging="480"/>
        <w:divId w:val="85422075"/>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6BD17C8A" w14:textId="77777777" w:rsidR="005A2826" w:rsidRDefault="005A2826">
      <w:pPr>
        <w:spacing w:after="60"/>
        <w:ind w:hanging="480"/>
        <w:divId w:val="85422075"/>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5EA3BB9B" w14:textId="77777777" w:rsidR="005A2826" w:rsidRDefault="005A2826">
      <w:pPr>
        <w:pStyle w:val="Heading1"/>
        <w:pageBreakBefore/>
        <w:rPr>
          <w:rFonts w:ascii="Arial" w:eastAsia="Times New Roman" w:hAnsi="Arial" w:cs="Arial"/>
        </w:rPr>
      </w:pPr>
      <w:r>
        <w:rPr>
          <w:rFonts w:ascii="Arial" w:eastAsia="Times New Roman" w:hAnsi="Arial" w:cs="Arial"/>
        </w:rPr>
        <w:t>Checklist of Further Application Documents (AvH online portal)</w:t>
      </w:r>
    </w:p>
    <w:tbl>
      <w:tblPr>
        <w:tblW w:w="5000" w:type="pct"/>
        <w:tblCellMar>
          <w:top w:w="15" w:type="dxa"/>
          <w:left w:w="15" w:type="dxa"/>
          <w:bottom w:w="15" w:type="dxa"/>
          <w:right w:w="15" w:type="dxa"/>
        </w:tblCellMar>
        <w:tblLook w:val="04A0" w:firstRow="1" w:lastRow="0" w:firstColumn="1" w:lastColumn="0" w:noHBand="0" w:noVBand="1"/>
      </w:tblPr>
      <w:tblGrid>
        <w:gridCol w:w="3804"/>
        <w:gridCol w:w="5252"/>
      </w:tblGrid>
      <w:tr w:rsidR="00000000" w14:paraId="6DE662B9" w14:textId="77777777">
        <w:tc>
          <w:tcPr>
            <w:tcW w:w="2100" w:type="pct"/>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4A6124B7"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Document</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0BCA608B" w14:textId="77777777" w:rsidR="005A2826" w:rsidRDefault="005A2826">
            <w:pPr>
              <w:spacing w:before="120" w:after="200"/>
              <w:rPr>
                <w:rFonts w:ascii="Arial" w:eastAsia="Times New Roman" w:hAnsi="Arial" w:cs="Arial"/>
                <w:b/>
                <w:bCs/>
                <w:sz w:val="19"/>
                <w:szCs w:val="19"/>
              </w:rPr>
            </w:pPr>
            <w:r>
              <w:rPr>
                <w:rFonts w:ascii="Arial" w:eastAsia="Times New Roman" w:hAnsi="Arial" w:cs="Arial"/>
                <w:b/>
                <w:bCs/>
                <w:sz w:val="19"/>
                <w:szCs w:val="19"/>
              </w:rPr>
              <w:t>Status / note</w:t>
            </w:r>
          </w:p>
        </w:tc>
      </w:tr>
      <w:tr w:rsidR="00000000" w14:paraId="7444DD4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A66562F"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Curriculum vitae (max. 2 pages)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051009"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Condense from CV_Max_Buczek; focus: doctorate, methodological profile, publications, supervision</w:t>
            </w:r>
          </w:p>
        </w:tc>
      </w:tr>
      <w:tr w:rsidR="00000000" w14:paraId="67F06D0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E97C29"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Research proposal (max. 5 pages)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84CDE13"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 xml:space="preserve">This exposé – </w:t>
            </w:r>
            <w:r>
              <w:rPr>
                <w:rFonts w:ascii="Arial" w:eastAsia="Times New Roman" w:hAnsi="Arial" w:cs="Arial"/>
                <w:b/>
                <w:bCs/>
                <w:sz w:val="19"/>
                <w:szCs w:val="19"/>
              </w:rPr>
              <w:t>coordinate with Prof. Chueh before submission</w:t>
            </w:r>
            <w:r>
              <w:rPr>
                <w:rFonts w:ascii="Arial" w:eastAsia="Times New Roman" w:hAnsi="Arial" w:cs="Arial"/>
                <w:sz w:val="19"/>
                <w:szCs w:val="19"/>
              </w:rPr>
              <w:t xml:space="preserve"> (AvH requirement: independently developed, coordinated with the host)</w:t>
            </w:r>
          </w:p>
        </w:tc>
      </w:tr>
      <w:tr w:rsidR="00000000" w14:paraId="2D964E4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943FA7"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Complete list of publications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5A986D"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Incl. conference contributions and patent application</w:t>
            </w:r>
          </w:p>
        </w:tc>
      </w:tr>
      <w:tr w:rsidR="00000000" w14:paraId="68137C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4530CF"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1–3 key publications with justification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B6E788C"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Recommendation: Chem. Rev. 2025 (command of the field, first author), Adv. Electron. Mater. 2026 (device innovation), Thin Solid Films 2024 (PLD methodology)</w:t>
            </w:r>
          </w:p>
        </w:tc>
      </w:tr>
      <w:tr w:rsidR="00000000" w14:paraId="48CE3E7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A50506"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Doctoral certificate / proof</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BE9105"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If applying before completion: declaration that the dissertation will be submitted within 6 months</w:t>
            </w:r>
          </w:p>
        </w:tc>
      </w:tr>
      <w:tr w:rsidR="00000000" w14:paraId="1E61B6C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401ACD"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Host’s statement + confirmation of research place (incl. mentoring agreement and co-funding commitment)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50F8B2"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Prof. Chueh uploads directly to the AvH portal; raise the host contribution (approx. 1/3 of the fellowship; USA is a contributing country) early</w:t>
            </w:r>
          </w:p>
        </w:tc>
      </w:tr>
      <w:tr w:rsidR="00000000" w14:paraId="0ED29DD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ADE2A3"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Two expert reviews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DC41BD" w14:textId="77777777" w:rsidR="005A2826" w:rsidRDefault="005A2826">
            <w:pPr>
              <w:spacing w:before="120" w:after="200"/>
              <w:rPr>
                <w:rFonts w:ascii="Arial" w:eastAsia="Times New Roman" w:hAnsi="Arial" w:cs="Arial"/>
                <w:sz w:val="19"/>
                <w:szCs w:val="19"/>
              </w:rPr>
            </w:pPr>
            <w:r>
              <w:rPr>
                <w:rFonts w:ascii="Arial" w:eastAsia="Times New Roman" w:hAnsi="Arial" w:cs="Arial"/>
                <w:sz w:val="19"/>
                <w:szCs w:val="19"/>
              </w:rPr>
              <w:t>Recommendation: Prof. R. Dittmann (doctoral supervisor) + one external, preferably international referee [e.g. from the NeuroSys consortium or the E-MRS environment]</w:t>
            </w:r>
          </w:p>
        </w:tc>
      </w:tr>
    </w:tbl>
    <w:p w14:paraId="40FD3092" w14:textId="77777777" w:rsidR="005A2826" w:rsidRDefault="005A2826">
      <w:pPr>
        <w:pStyle w:val="Heading2"/>
        <w:rPr>
          <w:rFonts w:ascii="Arial" w:eastAsia="Times New Roman" w:hAnsi="Arial" w:cs="Arial"/>
        </w:rPr>
      </w:pPr>
      <w:r>
        <w:rPr>
          <w:rFonts w:ascii="Arial" w:eastAsia="Times New Roman" w:hAnsi="Arial" w:cs="Arial"/>
        </w:rPr>
        <w:t>Fellowship benefits (for orientation, as of 2026)</w:t>
      </w:r>
    </w:p>
    <w:p w14:paraId="4C3D1C1E" w14:textId="77777777" w:rsidR="005A2826" w:rsidRDefault="005A2826">
      <w:pPr>
        <w:pStyle w:val="NormalWeb"/>
        <w:rPr>
          <w:rFonts w:ascii="Arial" w:hAnsi="Arial" w:cs="Arial"/>
          <w:sz w:val="21"/>
          <w:szCs w:val="21"/>
        </w:rPr>
      </w:pPr>
      <w:r>
        <w:rPr>
          <w:rFonts w:ascii="Arial" w:hAnsi="Arial" w:cs="Arial"/>
          <w:sz w:val="21"/>
          <w:szCs w:val="21"/>
        </w:rPr>
        <w:t>Base fellowship € 2,187.50/month (minus host contribution) + foreign allowance USA (€ 1,892 single or € 2,528–2,807 with family) + research cost allowance € 312.50/month + travel lump sums; family benefits (partner allowance € 205, child allowance € 400/100); afterwards optionally the Feodor Lynen Return Fellowship (up to 12 months, € 3,600/month) to bridge until group funding. Applications accepted at any time; selection meetings February/June/October; success rate approx. 40 %.</w:t>
      </w:r>
    </w:p>
    <w:sectPr w:rsidR="005A282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61DA"/>
    <w:rsid w:val="005A2826"/>
    <w:rsid w:val="00973CE9"/>
    <w:rsid w:val="00A361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F1BB2"/>
  <w15:chartTrackingRefBased/>
  <w15:docId w15:val="{EB0D8922-5C85-4E9A-9BD0-44C7BADC1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A5632"/>
      <w:kern w:val="36"/>
      <w:sz w:val="28"/>
      <w:szCs w:val="28"/>
    </w:rPr>
  </w:style>
  <w:style w:type="paragraph" w:styleId="Heading2">
    <w:name w:val="heading 2"/>
    <w:basedOn w:val="Normal"/>
    <w:link w:val="Heading2Char"/>
    <w:uiPriority w:val="9"/>
    <w:qFormat/>
    <w:pPr>
      <w:spacing w:before="260" w:after="120"/>
      <w:outlineLvl w:val="1"/>
    </w:pPr>
    <w:rPr>
      <w:b/>
      <w:bCs/>
      <w:color w:val="1A5632"/>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207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2366</Words>
  <Characters>13490</Characters>
  <Application>Microsoft Office Word</Application>
  <DocSecurity>4</DocSecurity>
  <Lines>112</Lines>
  <Paragraphs>31</Paragraphs>
  <ScaleCrop>false</ScaleCrop>
  <Company/>
  <LinksUpToDate>false</LinksUpToDate>
  <CharactersWithSpaces>15825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Feodor Lynen Research Fellowship - Application Buczek (English)</dc:title>
  <dc:subject/>
  <dc:creator>Buczek, Max</dc:creator>
  <cp:keywords/>
  <dc:description/>
  <cp:lastModifiedBy>Buczek, Max</cp:lastModifiedBy>
  <cp:revision>2</cp:revision>
  <dcterms:created xsi:type="dcterms:W3CDTF">2026-08-09T14:17:00Z</dcterms:created>
  <dcterms:modified xsi:type="dcterms:W3CDTF">2026-08-09T14:17:00Z</dcterms:modified>
</cp:coreProperties>
</file>