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B6388" w14:textId="77777777" w:rsidR="005A2826" w:rsidRDefault="005A2826">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42A614E0" w14:textId="77777777" w:rsidR="005A2826" w:rsidRDefault="005A2826">
      <w:pPr>
        <w:pStyle w:val="NormalWeb"/>
        <w:rPr>
          <w:rFonts w:ascii="Arial" w:hAnsi="Arial" w:cs="Arial"/>
          <w:sz w:val="21"/>
          <w:szCs w:val="21"/>
        </w:rPr>
      </w:pPr>
      <w:r>
        <w:rPr>
          <w:rFonts w:ascii="Arial" w:hAnsi="Arial" w:cs="Arial"/>
          <w:sz w:val="21"/>
          <w:szCs w:val="21"/>
        </w:rPr>
        <w:t> </w:t>
      </w:r>
    </w:p>
    <w:p w14:paraId="787B9F40" w14:textId="77777777" w:rsidR="005A2826" w:rsidRDefault="005A2826">
      <w:pPr>
        <w:pStyle w:val="NormalWeb"/>
        <w:rPr>
          <w:rFonts w:ascii="Arial" w:hAnsi="Arial" w:cs="Arial"/>
          <w:sz w:val="21"/>
          <w:szCs w:val="21"/>
        </w:rPr>
      </w:pPr>
      <w:r>
        <w:rPr>
          <w:rFonts w:ascii="Arial" w:hAnsi="Arial" w:cs="Arial"/>
          <w:sz w:val="21"/>
          <w:szCs w:val="21"/>
        </w:rPr>
        <w:t> </w:t>
      </w:r>
    </w:p>
    <w:p w14:paraId="39995E33" w14:textId="77777777" w:rsidR="005A2826" w:rsidRDefault="005A2826">
      <w:pPr>
        <w:pStyle w:val="NormalWeb"/>
        <w:rPr>
          <w:rFonts w:ascii="Arial" w:hAnsi="Arial" w:cs="Arial"/>
          <w:sz w:val="21"/>
          <w:szCs w:val="21"/>
        </w:rPr>
      </w:pPr>
      <w:r>
        <w:rPr>
          <w:rFonts w:ascii="Arial" w:hAnsi="Arial" w:cs="Arial"/>
          <w:sz w:val="21"/>
          <w:szCs w:val="21"/>
        </w:rPr>
        <w:t> </w:t>
      </w:r>
    </w:p>
    <w:p w14:paraId="4BBF9F6C" w14:textId="77777777" w:rsidR="005A2826" w:rsidRDefault="005A2826">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1153C45C" w14:textId="77777777" w:rsidR="005A2826" w:rsidRDefault="005A2826">
      <w:pPr>
        <w:pStyle w:val="NormalWeb"/>
        <w:rPr>
          <w:rFonts w:ascii="Arial" w:hAnsi="Arial" w:cs="Arial"/>
          <w:sz w:val="21"/>
          <w:szCs w:val="21"/>
        </w:rPr>
      </w:pPr>
      <w:r>
        <w:rPr>
          <w:rFonts w:ascii="Arial" w:hAnsi="Arial" w:cs="Arial"/>
          <w:sz w:val="21"/>
          <w:szCs w:val="21"/>
        </w:rPr>
        <w:t> </w:t>
      </w:r>
    </w:p>
    <w:p w14:paraId="55A0B3E5" w14:textId="77777777" w:rsidR="005A2826" w:rsidRDefault="005A2826">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3-δ</w:t>
      </w:r>
      <w:r>
        <w:rPr>
          <w:rFonts w:ascii="Arial" w:hAnsi="Arial" w:cs="Arial"/>
          <w:b/>
          <w:bCs/>
          <w:sz w:val="26"/>
          <w:szCs w:val="26"/>
        </w:rPr>
        <w:t xml:space="preserve"> Model Series</w:t>
      </w:r>
    </w:p>
    <w:p w14:paraId="1122340F" w14:textId="77777777" w:rsidR="005A2826" w:rsidRDefault="005A2826">
      <w:pPr>
        <w:pStyle w:val="NormalWeb"/>
        <w:rPr>
          <w:rFonts w:ascii="Arial" w:hAnsi="Arial" w:cs="Arial"/>
          <w:sz w:val="21"/>
          <w:szCs w:val="21"/>
        </w:rPr>
      </w:pPr>
      <w:r>
        <w:rPr>
          <w:rFonts w:ascii="Arial" w:hAnsi="Arial" w:cs="Arial"/>
          <w:sz w:val="21"/>
          <w:szCs w:val="21"/>
        </w:rPr>
        <w:t> </w:t>
      </w:r>
    </w:p>
    <w:p w14:paraId="6833CB16" w14:textId="77777777" w:rsidR="005A2826" w:rsidRDefault="005A2826">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757163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02E834"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2EB3B"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05D5FC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FB34E4"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28AF3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26C2C7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574EFF"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7E8BB8"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26432C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74A853"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6A40C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735CF25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5073"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1936E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7C7F4D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CA086A"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B19A76"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3ABCB230" w14:textId="77777777" w:rsidR="005A2826" w:rsidRDefault="005A2826">
      <w:pPr>
        <w:pStyle w:val="NormalWeb"/>
        <w:rPr>
          <w:rFonts w:ascii="Arial" w:hAnsi="Arial" w:cs="Arial"/>
          <w:sz w:val="21"/>
          <w:szCs w:val="21"/>
        </w:rPr>
      </w:pPr>
      <w:r>
        <w:rPr>
          <w:rFonts w:ascii="Arial" w:hAnsi="Arial" w:cs="Arial"/>
          <w:sz w:val="21"/>
          <w:szCs w:val="21"/>
        </w:rPr>
        <w:t> </w:t>
      </w:r>
    </w:p>
    <w:p w14:paraId="740C9EA5" w14:textId="77777777" w:rsidR="005A2826" w:rsidRDefault="005A2826">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32F1D86" w14:textId="77777777" w:rsidR="005A2826" w:rsidRDefault="005A2826">
      <w:pPr>
        <w:pStyle w:val="Heading1"/>
        <w:pageBreakBefore/>
        <w:rPr>
          <w:rFonts w:ascii="Arial" w:eastAsia="Times New Roman" w:hAnsi="Arial" w:cs="Arial"/>
        </w:rPr>
      </w:pPr>
      <w:r>
        <w:rPr>
          <w:rFonts w:ascii="Arial" w:eastAsia="Times New Roman" w:hAnsi="Arial" w:cs="Arial"/>
        </w:rPr>
        <w:lastRenderedPageBreak/>
        <w:t>Research Proposal (Exposé)</w:t>
      </w:r>
    </w:p>
    <w:p w14:paraId="618C61A3" w14:textId="77777777" w:rsidR="005A2826" w:rsidRDefault="005A2826">
      <w:pPr>
        <w:pStyle w:val="Heading2"/>
        <w:rPr>
          <w:rFonts w:ascii="Arial" w:eastAsia="Times New Roman" w:hAnsi="Arial" w:cs="Arial"/>
        </w:rPr>
      </w:pPr>
      <w:r>
        <w:rPr>
          <w:rFonts w:ascii="Arial" w:eastAsia="Times New Roman" w:hAnsi="Arial" w:cs="Arial"/>
        </w:rPr>
        <w:t>1  Research question and scientific significance</w:t>
      </w:r>
    </w:p>
    <w:p w14:paraId="618AA0C0" w14:textId="77777777" w:rsidR="005A2826" w:rsidRDefault="005A2826">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(LSMO), the canonical covalency-tuning perovskite series.</w:t>
      </w:r>
    </w:p>
    <w:p w14:paraId="1E45CD3A" w14:textId="77777777" w:rsidR="005A2826" w:rsidRDefault="005A2826">
      <w:pPr>
        <w:pStyle w:val="NormalWeb"/>
        <w:rPr>
          <w:rFonts w:ascii="Arial" w:hAnsi="Arial" w:cs="Arial"/>
          <w:sz w:val="21"/>
          <w:szCs w:val="21"/>
        </w:rPr>
      </w:pPr>
      <w:r>
        <w:rPr>
          <w:rFonts w:ascii="Arial" w:hAnsi="Arial" w:cs="Arial"/>
          <w:sz w:val="21"/>
          <w:szCs w:val="21"/>
        </w:rPr>
        <w:t xml:space="preserve">LSMO is the </w:t>
      </w:r>
      <w:r>
        <w:rPr>
          <w:rFonts w:ascii="Arial" w:hAnsi="Arial" w:cs="Arial"/>
          <w:i/>
          <w:iCs/>
          <w:sz w:val="21"/>
          <w:szCs w:val="21"/>
        </w:rPr>
        <w:t>canonical</w:t>
      </w:r>
      <w:r>
        <w:rPr>
          <w:rFonts w:ascii="Arial" w:hAnsi="Arial" w:cs="Arial"/>
          <w:sz w:val="21"/>
          <w:szCs w:val="21"/>
        </w:rPr>
        <w:t xml:space="preserve"> system for the covalency axis: the classic controlled-valence X-ray absorption study of Abbate et al. established on exactly this series how Sr</w:t>
      </w:r>
      <w:r>
        <w:rPr>
          <w:rFonts w:ascii="Arial" w:hAnsi="Arial" w:cs="Arial"/>
          <w:sz w:val="21"/>
          <w:szCs w:val="21"/>
          <w:vertAlign w:val="superscript"/>
        </w:rPr>
        <w:t>2+</w:t>
      </w:r>
      <w:r>
        <w:rPr>
          <w:rFonts w:ascii="Arial" w:hAnsi="Arial" w:cs="Arial"/>
          <w:sz w:val="21"/>
          <w:szCs w:val="21"/>
        </w:rPr>
        <w:t xml:space="preserve"> substitution creates doped holes with dominant O-2p character and systematically strengthens the O-K pre-edge [9] – the covalency-vs-doping spectroscopy of perovskites was, historically, calibrated on LSMO [9–11]. The energetic link, by contrast, is open: no quantitative EV(x) or EV–covalency relation exists for LSMO – the project measures precisely this missing half of the descriptor chain. The switching axis exists but is strikingly underdeveloped: LSMO has been switched as an active layer (multilevel recording by conductive-AFM [12], forming-free interface-type devices [13], reconfigurable VO2/LSMO heterostructures [24]), and in-situ TEM has directly visualised oxygen-vacancy-driven, reversible structural and resistive transitions in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[14] – yet only a single three-point composition series exists, on sputtered films with reactive Al electrodes [15], supported by one DFT study of vacancy formation in Al/LSMO devices [16]; the recent manganite device review confirms this gap [23]. An epitaxial, statistically robust LSMO switching series with inert electrodes does not exist – in fact, no LSMO device switching at a noble-metal interface has been reported at all – the gap this project closes. The known design constraint is addressed openly: above x ≈ 0.17 LSMO becomes metallic, which limits the high-resistance state. The series therefore concentrates on x = 0–0.4 with thin active layers on Nb:SrTiO</w:t>
      </w:r>
      <w:r>
        <w:rPr>
          <w:rFonts w:ascii="Arial" w:hAnsi="Arial" w:cs="Arial"/>
          <w:sz w:val="21"/>
          <w:szCs w:val="21"/>
          <w:vertAlign w:val="subscript"/>
        </w:rPr>
        <w:t>3</w:t>
      </w:r>
      <w:r>
        <w:rPr>
          <w:rFonts w:ascii="Arial" w:hAnsi="Arial" w:cs="Arial"/>
          <w:sz w:val="21"/>
          <w:szCs w:val="21"/>
        </w:rPr>
        <w:t>, where interface-type Schottky switching remains resistive – and the dense sampling across the insulator–metal boundary turns the constraint into a testable feature: does the switching window collapse exactly where covalency-driven metallicity sets in, as the descriptor predicts? Related composition series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with its optimum at x ≈ 0.4 [17], electron-doped 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[18]) serve as consistency anchors. My central hypothesis: the switching window scales with the XAS-measured covalency and collapses at the doping-driven crossover – the sharpest possible test of where descriptor physics ends.</w:t>
      </w:r>
    </w:p>
    <w:p w14:paraId="76DEFDFD" w14:textId="77777777" w:rsidR="005A2826" w:rsidRDefault="005A2826">
      <w:pPr>
        <w:pStyle w:val="Heading2"/>
        <w:rPr>
          <w:rFonts w:ascii="Arial" w:eastAsia="Times New Roman" w:hAnsi="Arial" w:cs="Arial"/>
        </w:rPr>
      </w:pPr>
      <w:r>
        <w:rPr>
          <w:rFonts w:ascii="Arial" w:eastAsia="Times New Roman" w:hAnsi="Arial" w:cs="Arial"/>
        </w:rPr>
        <w:t>2  Why the Chueh group at Stanford is the ideal place</w:t>
      </w:r>
    </w:p>
    <w:p w14:paraId="63C2BD88" w14:textId="77777777" w:rsidR="005A2826" w:rsidRDefault="005A2826">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[19–21]. The group’s seminal work on the redox activity of oxygen anions in oxygen-deficient perovskites [20]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[21]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0EDF687" w14:textId="77777777" w:rsidR="005A2826" w:rsidRDefault="005A2826">
      <w:pPr>
        <w:pStyle w:val="Heading2"/>
        <w:rPr>
          <w:rFonts w:ascii="Arial" w:eastAsia="Times New Roman" w:hAnsi="Arial" w:cs="Arial"/>
        </w:rPr>
      </w:pPr>
      <w:r>
        <w:rPr>
          <w:rFonts w:ascii="Arial" w:eastAsia="Times New Roman" w:hAnsi="Arial" w:cs="Arial"/>
        </w:rPr>
        <w:t>3  Work programme (24 months)</w:t>
      </w:r>
    </w:p>
    <w:p w14:paraId="04177702" w14:textId="77777777" w:rsidR="005A2826" w:rsidRDefault="005A2826">
      <w:pPr>
        <w:pStyle w:val="Heading3"/>
        <w:rPr>
          <w:rFonts w:ascii="Arial" w:eastAsia="Times New Roman" w:hAnsi="Arial" w:cs="Arial"/>
        </w:rPr>
      </w:pPr>
      <w:r>
        <w:rPr>
          <w:rFonts w:ascii="Arial" w:eastAsia="Times New Roman" w:hAnsi="Arial" w:cs="Arial"/>
        </w:rPr>
        <w:t xml:space="preserve">WP1 – Synthesis and descriptor measurement of the LSMO series (months 1–10)</w:t>
      </w:r>
    </w:p>
    <w:p w14:paraId="133D32AA" w14:textId="77777777" w:rsidR="005A2826" w:rsidRDefault="005A2826">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films (x = 0; 0.1; 0.17; 0.25; 0.33; 0.4 – dense sampling across the insulator–metal boundary)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O-K pre-edge quantification following [10], benchmarked directly against the canonical Abbate dataset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DCD5A4F" w14:textId="77777777" w:rsidR="005A2826" w:rsidRDefault="005A2826">
      <w:pPr>
        <w:pStyle w:val="Heading3"/>
        <w:rPr>
          <w:rFonts w:ascii="Arial" w:eastAsia="Times New Roman" w:hAnsi="Arial" w:cs="Arial"/>
        </w:rPr>
      </w:pPr>
      <w:r>
        <w:rPr>
          <w:rFonts w:ascii="Arial" w:eastAsia="Times New Roman" w:hAnsi="Arial" w:cs="Arial"/>
        </w:rPr>
        <w:t xml:space="preserve">WP2 – Devices and switching characterisation (months 8–18)</w:t>
      </w:r>
    </w:p>
    <w:p w14:paraId="3A0E452B" w14:textId="77777777" w:rsidR="005A2826" w:rsidRDefault="005A2826">
      <w:pPr>
        <w:pStyle w:val="NormalWeb"/>
        <w:rPr>
          <w:rFonts w:ascii="Arial" w:hAnsi="Arial" w:cs="Arial"/>
          <w:sz w:val="21"/>
          <w:szCs w:val="21"/>
        </w:rPr>
      </w:pPr>
      <w:r>
        <w:rPr>
          <w:rFonts w:ascii="Arial" w:hAnsi="Arial" w:cs="Arial"/>
          <w:sz w:val="21"/>
          <w:szCs w:val="21"/>
        </w:rPr>
        <w:t>Processing of identical Pt/LSMO/Nb:SrTiO</w:t>
      </w:r>
      <w:r>
        <w:rPr>
          <w:rFonts w:ascii="Arial" w:hAnsi="Arial" w:cs="Arial"/>
          <w:sz w:val="21"/>
          <w:szCs w:val="21"/>
          <w:vertAlign w:val="subscript"/>
        </w:rPr>
        <w:t>3</w:t>
      </w:r>
      <w:r>
        <w:rPr>
          <w:rFonts w:ascii="Arial" w:hAnsi="Arial" w:cs="Arial"/>
          <w:sz w:val="21"/>
          <w:szCs w:val="21"/>
        </w:rPr>
        <w:t xml:space="preserve"> cell arrays with thin active layers (≥ 30 cells per composition, photolithographic patterning; interface-type Schottky geometry keeps the devices resistive even towards the metallic side);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50804C80" w14:textId="77777777" w:rsidR="005A2826" w:rsidRDefault="005A2826">
      <w:pPr>
        <w:pStyle w:val="Heading3"/>
        <w:rPr>
          <w:rFonts w:ascii="Arial" w:eastAsia="Times New Roman" w:hAnsi="Arial" w:cs="Arial"/>
        </w:rPr>
      </w:pPr>
      <w:r>
        <w:rPr>
          <w:rFonts w:ascii="Arial" w:eastAsia="Times New Roman" w:hAnsi="Arial" w:cs="Arial"/>
        </w:rPr>
        <w:t xml:space="preserve">WP3 – Correlation, operando validation and publication (months 16–24)</w:t>
      </w:r>
    </w:p>
    <w:p w14:paraId="6503A815" w14:textId="77777777" w:rsidR="005A2826" w:rsidRDefault="005A2826">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collapse hypothesis at the doping-driven crossover.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585428CF" w14:textId="77777777" w:rsidR="005A2826" w:rsidRDefault="005A2826">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3C56B207"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FAE7EB8"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401370"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368B2D"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C860EDE"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F54C7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68347C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56548E6"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9AA94D1"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01BFA1B"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250C1C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F896A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B94669"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CF02A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4EE8C"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6047B4"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8BE0" w14:textId="77777777" w:rsidR="005A2826" w:rsidRDefault="005A2826">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21CEC9"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0700FC"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BDA913" w14:textId="77777777" w:rsidR="005A2826" w:rsidRDefault="005A2826">
            <w:pPr>
              <w:spacing w:before="120" w:after="200"/>
              <w:jc w:val="center"/>
              <w:rPr>
                <w:rFonts w:eastAsia="Times New Roman"/>
                <w:sz w:val="20"/>
                <w:szCs w:val="20"/>
              </w:rPr>
            </w:pPr>
          </w:p>
        </w:tc>
      </w:tr>
      <w:tr w:rsidR="00000000" w14:paraId="1995492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ACBD8C"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862A" w14:textId="77777777" w:rsidR="005A2826" w:rsidRDefault="005A2826">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57DF16"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162311"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4BEF0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D0388"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D5025"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98902E" w14:textId="77777777" w:rsidR="005A2826" w:rsidRDefault="005A2826">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00E66" w14:textId="77777777" w:rsidR="005A2826" w:rsidRDefault="005A2826">
            <w:pPr>
              <w:spacing w:before="120" w:after="200"/>
              <w:jc w:val="center"/>
              <w:rPr>
                <w:rFonts w:eastAsia="Times New Roman"/>
                <w:sz w:val="20"/>
                <w:szCs w:val="20"/>
              </w:rPr>
            </w:pPr>
          </w:p>
        </w:tc>
      </w:tr>
      <w:tr w:rsidR="00000000" w14:paraId="306C32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243ECE"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8A0BF2" w14:textId="77777777" w:rsidR="005A2826" w:rsidRDefault="005A2826">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F93C12"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73CE"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A16393"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75F204"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D267B5"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165F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10AA91"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41D09638" w14:textId="77777777" w:rsidR="005A2826" w:rsidRDefault="005A2826">
      <w:pPr>
        <w:pStyle w:val="Heading2"/>
        <w:rPr>
          <w:rFonts w:ascii="Arial" w:eastAsia="Times New Roman" w:hAnsi="Arial" w:cs="Arial"/>
        </w:rPr>
      </w:pPr>
      <w:r>
        <w:rPr>
          <w:rFonts w:ascii="Arial" w:eastAsia="Times New Roman" w:hAnsi="Arial" w:cs="Arial"/>
        </w:rPr>
        <w:t>5  Career perspective and return strategy</w:t>
      </w:r>
    </w:p>
    <w:p w14:paraId="7A1FBB6E" w14:textId="77777777" w:rsidR="005A2826" w:rsidRDefault="005A2826">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LSMO dataset, anchored to the canonical spectroscopy of the field) for the larger programme of a “treasure map” of memristive oxides in analogy to the bonding-descriptor maps of Wuttig et al. [22]. The subsequent group programme then extends the methodology to the ferrite and cobaltite families, where larger E</w:t>
      </w:r>
      <w:r>
        <w:rPr>
          <w:rFonts w:ascii="Arial" w:hAnsi="Arial" w:cs="Arial"/>
          <w:sz w:val="21"/>
          <w:szCs w:val="21"/>
          <w:vertAlign w:val="subscript"/>
        </w:rPr>
        <w:t>V</w:t>
      </w:r>
      <w:r>
        <w:rPr>
          <w:rFonts w:ascii="Arial" w:hAnsi="Arial" w:cs="Arial"/>
          <w:sz w:val="21"/>
          <w:szCs w:val="21"/>
        </w:rPr>
        <w:t xml:space="preserve"> spans and topotactic mechanism boundaries extend the map beyond the manganite anchor point.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E666A0A" w14:textId="77777777" w:rsidR="005A2826" w:rsidRDefault="005A2826">
      <w:pPr>
        <w:pStyle w:val="Heading2"/>
        <w:rPr>
          <w:rFonts w:ascii="Arial" w:eastAsia="Times New Roman" w:hAnsi="Arial" w:cs="Arial"/>
        </w:rPr>
      </w:pPr>
      <w:r>
        <w:rPr>
          <w:rFonts w:ascii="Arial" w:eastAsia="Times New Roman" w:hAnsi="Arial" w:cs="Arial"/>
        </w:rPr>
        <w:t>6  References</w:t>
      </w:r>
    </w:p>
    <w:p w14:paraId="29FEDDDF" w14:textId="77777777" w:rsidR="005A2826" w:rsidRDefault="005A2826">
      <w:pPr>
        <w:spacing w:after="60"/>
        <w:ind w:hanging="480"/>
        <w:divId w:val="85422075"/>
        <w:rPr>
          <w:rFonts w:ascii="Arial" w:hAnsi="Arial" w:cs="Arial"/>
          <w:sz w:val="18"/>
          <w:szCs w:val="18"/>
        </w:rPr>
      </w:pPr>
      <w:r>
        <w:rPr>
          <w:rFonts w:ascii="Arial" w:hAnsi="Arial" w:cs="Arial"/>
          <w:sz w:val="18"/>
          <w:szCs w:val="18"/>
        </w:rPr>
        <w:t>[1] R. Waser, M. Aono, Nanoionics-based resistive switching memories. Nature Materials 6, 833–840 (2007).</w:t>
      </w:r>
    </w:p>
    <w:p w14:paraId="31927E7E" w14:textId="77777777" w:rsidR="005A2826" w:rsidRDefault="005A2826">
      <w:pPr>
        <w:spacing w:after="60"/>
        <w:ind w:hanging="480"/>
        <w:divId w:val="85422075"/>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C0B7061" w14:textId="77777777" w:rsidR="005A2826" w:rsidRDefault="005A2826">
      <w:pPr>
        <w:spacing w:after="60"/>
        <w:ind w:hanging="480"/>
        <w:divId w:val="85422075"/>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DE31374" w14:textId="77777777" w:rsidR="005A2826" w:rsidRDefault="005A2826">
      <w:pPr>
        <w:spacing w:after="60"/>
        <w:ind w:hanging="480"/>
        <w:divId w:val="85422075"/>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4B6E174A" w14:textId="77777777" w:rsidR="005A2826" w:rsidRDefault="005A2826">
      <w:pPr>
        <w:spacing w:after="60"/>
        <w:ind w:hanging="480"/>
        <w:divId w:val="85422075"/>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59805D07" w14:textId="77777777" w:rsidR="005A2826" w:rsidRDefault="005A2826">
      <w:pPr>
        <w:spacing w:after="60"/>
        <w:ind w:hanging="480"/>
        <w:divId w:val="85422075"/>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2C7DCC02" w14:textId="77777777" w:rsidR="005A2826" w:rsidRDefault="005A2826">
      <w:pPr>
        <w:spacing w:after="60"/>
        <w:ind w:hanging="480"/>
        <w:divId w:val="85422075"/>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710822DE" w14:textId="77777777" w:rsidR="005A2826" w:rsidRDefault="005A2826">
      <w:pPr>
        <w:spacing w:after="60"/>
        <w:ind w:hanging="480"/>
        <w:divId w:val="85422075"/>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602E9D0D" w14:textId="77777777" w:rsidR="005A2826" w:rsidRDefault="005A2826">
      <w:pPr>
        <w:spacing w:after="60"/>
        <w:ind w:hanging="480"/>
        <w:divId w:val="85422075"/>
        <w:rPr>
          <w:rFonts w:ascii="Arial" w:hAnsi="Arial" w:cs="Arial"/>
          <w:sz w:val="18"/>
          <w:szCs w:val="18"/>
        </w:rPr>
      </w:pPr>
      <w:r>
        <w:rPr>
          <w:rFonts w:ascii="Arial" w:hAnsi="Arial" w:cs="Arial"/>
          <w:sz w:val="18"/>
          <w:szCs w:val="18"/>
        </w:rPr>
        <w:t>[9]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774BE60B" w14:textId="77777777" w:rsidR="005A2826" w:rsidRDefault="005A2826">
      <w:pPr>
        <w:spacing w:after="60"/>
        <w:ind w:hanging="480"/>
        <w:divId w:val="85422075"/>
        <w:rPr>
          <w:rFonts w:ascii="Arial" w:hAnsi="Arial" w:cs="Arial"/>
          <w:sz w:val="18"/>
          <w:szCs w:val="18"/>
        </w:rPr>
      </w:pPr>
      <w:r>
        <w:rPr>
          <w:rFonts w:ascii="Arial" w:hAnsi="Arial" w:cs="Arial"/>
          <w:sz w:val="18"/>
          <w:szCs w:val="18"/>
        </w:rPr>
        <w:t>[10] J. Suntivich et al., Estimating Hybridization of Transition Metal and Oxygen States in Perovskites from O K-edge X-ray Absorption Spectroscopy. Journal of Physical Chemistry C 118, 1856–1863 (2014).</w:t>
      </w:r>
    </w:p>
    <w:p w14:paraId="35C52A89" w14:textId="77777777" w:rsidR="005A2826" w:rsidRDefault="005A2826">
      <w:pPr>
        <w:spacing w:after="60"/>
        <w:ind w:hanging="480"/>
        <w:divId w:val="85422075"/>
        <w:rPr>
          <w:rFonts w:ascii="Arial" w:hAnsi="Arial" w:cs="Arial"/>
          <w:sz w:val="18"/>
          <w:szCs w:val="18"/>
        </w:rPr>
      </w:pPr>
      <w:r>
        <w:rPr>
          <w:rFonts w:ascii="Arial" w:hAnsi="Arial" w:cs="Arial"/>
          <w:sz w:val="18"/>
          <w:szCs w:val="18"/>
        </w:rPr>
        <w:t>[11] F. Frati, M. O. J. Y. Hunault, F. M. F. de Groot, Oxygen K-edge X-ray Absorption Spectra. Chemical Reviews 120, 4056–4110 (2020).</w:t>
      </w:r>
    </w:p>
    <w:p w14:paraId="67FD8B08" w14:textId="77777777" w:rsidR="005A2826" w:rsidRDefault="005A2826">
      <w:pPr>
        <w:spacing w:after="60"/>
        <w:ind w:hanging="480"/>
        <w:divId w:val="85422075"/>
        <w:rPr>
          <w:rFonts w:ascii="Arial" w:hAnsi="Arial" w:cs="Arial"/>
          <w:sz w:val="18"/>
          <w:szCs w:val="18"/>
        </w:rPr>
      </w:pPr>
      <w:r>
        <w:rPr>
          <w:rFonts w:ascii="Arial" w:hAnsi="Arial" w:cs="Arial"/>
          <w:sz w:val="18"/>
          <w:szCs w:val="18"/>
        </w:rPr>
        <w:t>[12]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04CB93C4" w14:textId="77777777" w:rsidR="005A2826" w:rsidRDefault="005A2826">
      <w:pPr>
        <w:spacing w:after="60"/>
        <w:ind w:hanging="480"/>
        <w:divId w:val="85422075"/>
        <w:rPr>
          <w:rFonts w:ascii="Arial" w:hAnsi="Arial" w:cs="Arial"/>
          <w:sz w:val="18"/>
          <w:szCs w:val="18"/>
        </w:rPr>
      </w:pPr>
      <w:r>
        <w:rPr>
          <w:rFonts w:ascii="Arial" w:hAnsi="Arial" w:cs="Arial"/>
          <w:sz w:val="18"/>
          <w:szCs w:val="18"/>
        </w:rPr>
        <w:t>[13]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0F08239" w14:textId="77777777" w:rsidR="005A2826" w:rsidRDefault="005A2826">
      <w:pPr>
        <w:spacing w:after="60"/>
        <w:ind w:hanging="480"/>
        <w:divId w:val="85422075"/>
        <w:rPr>
          <w:rFonts w:ascii="Arial" w:hAnsi="Arial" w:cs="Arial"/>
          <w:sz w:val="18"/>
          <w:szCs w:val="18"/>
        </w:rPr>
      </w:pPr>
      <w:r>
        <w:rPr>
          <w:rFonts w:ascii="Arial" w:hAnsi="Arial" w:cs="Arial"/>
          <w:sz w:val="18"/>
          <w:szCs w:val="18"/>
        </w:rPr>
        <w:t>[14]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5C08B23" w14:textId="77777777" w:rsidR="005A2826" w:rsidRDefault="005A2826">
      <w:pPr>
        <w:spacing w:after="60"/>
        <w:ind w:hanging="480"/>
        <w:divId w:val="85422075"/>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A6B406" w14:textId="77777777" w:rsidR="005A2826" w:rsidRDefault="005A2826">
      <w:pPr>
        <w:spacing w:after="60"/>
        <w:ind w:hanging="480"/>
        <w:divId w:val="85422075"/>
        <w:rPr>
          <w:rFonts w:ascii="Arial" w:hAnsi="Arial" w:cs="Arial"/>
          <w:sz w:val="18"/>
          <w:szCs w:val="18"/>
        </w:rPr>
      </w:pPr>
      <w:r>
        <w:rPr>
          <w:rFonts w:ascii="Arial" w:hAnsi="Arial" w:cs="Arial"/>
          <w:sz w:val="18"/>
          <w:szCs w:val="18"/>
        </w:rPr>
        <w:t>[16] N. Lee, Y. Lansac, H. Hwang, Y. H. Jang, Switching mechanism of Al/La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resistance random access memory. I. Oxygen vacancy formation in perovskites. RSC Advances 5, 102772–102779 (2015), DOI 10.1039/C5RA21982E.</w:t>
      </w:r>
    </w:p>
    <w:p w14:paraId="74554330" w14:textId="77777777" w:rsidR="005A2826" w:rsidRDefault="005A2826">
      <w:pPr>
        <w:spacing w:after="60"/>
        <w:ind w:hanging="480"/>
        <w:divId w:val="85422075"/>
        <w:rPr>
          <w:rFonts w:ascii="Arial" w:hAnsi="Arial" w:cs="Arial"/>
          <w:sz w:val="18"/>
          <w:szCs w:val="18"/>
        </w:rPr>
      </w:pPr>
      <w:r>
        <w:rPr>
          <w:rFonts w:ascii="Arial" w:hAnsi="Arial" w:cs="Arial"/>
          <w:sz w:val="18"/>
          <w:szCs w:val="18"/>
        </w:rPr>
        <w:t>[17]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5FF6FC4" w14:textId="77777777" w:rsidR="005A2826" w:rsidRDefault="005A2826">
      <w:pPr>
        <w:spacing w:after="60"/>
        <w:ind w:hanging="480"/>
        <w:divId w:val="85422075"/>
        <w:rPr>
          <w:rFonts w:ascii="Arial" w:hAnsi="Arial" w:cs="Arial"/>
          <w:sz w:val="18"/>
          <w:szCs w:val="18"/>
        </w:rPr>
      </w:pPr>
      <w:r>
        <w:rPr>
          <w:rFonts w:ascii="Arial" w:hAnsi="Arial" w:cs="Arial"/>
          <w:sz w:val="18"/>
          <w:szCs w:val="18"/>
        </w:rPr>
        <w:t>[18]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336F7843" w14:textId="77777777" w:rsidR="005A2826" w:rsidRDefault="005A2826">
      <w:pPr>
        <w:spacing w:after="60"/>
        <w:ind w:hanging="480"/>
        <w:divId w:val="85422075"/>
        <w:rPr>
          <w:rFonts w:ascii="Arial" w:hAnsi="Arial" w:cs="Arial"/>
          <w:sz w:val="18"/>
          <w:szCs w:val="18"/>
        </w:rPr>
      </w:pPr>
      <w:r>
        <w:rPr>
          <w:rFonts w:ascii="Arial" w:hAnsi="Arial" w:cs="Arial"/>
          <w:sz w:val="18"/>
          <w:szCs w:val="18"/>
        </w:rPr>
        <w:t>[19]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566575CF" w14:textId="77777777" w:rsidR="005A2826" w:rsidRDefault="005A2826">
      <w:pPr>
        <w:spacing w:after="60"/>
        <w:ind w:hanging="480"/>
        <w:divId w:val="85422075"/>
        <w:rPr>
          <w:rFonts w:ascii="Arial" w:hAnsi="Arial" w:cs="Arial"/>
          <w:sz w:val="18"/>
          <w:szCs w:val="18"/>
        </w:rPr>
      </w:pPr>
      <w:r>
        <w:rPr>
          <w:rFonts w:ascii="Arial" w:hAnsi="Arial" w:cs="Arial"/>
          <w:sz w:val="18"/>
          <w:szCs w:val="18"/>
        </w:rPr>
        <w:t>[20] D. N. Mueller, M. L. Machala, H. Bluhm, W. C. Chueh, Redox activity of surface oxygen anions in oxygen-deficient perovskite oxides during electrochemical reactions. Nature Communications 6, 6097 (2015).</w:t>
      </w:r>
    </w:p>
    <w:p w14:paraId="0D656D61" w14:textId="77777777" w:rsidR="005A2826" w:rsidRDefault="005A2826">
      <w:pPr>
        <w:spacing w:after="60"/>
        <w:ind w:hanging="480"/>
        <w:divId w:val="85422075"/>
        <w:rPr>
          <w:rFonts w:ascii="Arial" w:hAnsi="Arial" w:cs="Arial"/>
          <w:sz w:val="18"/>
          <w:szCs w:val="18"/>
        </w:rPr>
      </w:pPr>
      <w:r>
        <w:rPr>
          <w:rFonts w:ascii="Arial" w:hAnsi="Arial" w:cs="Arial"/>
          <w:sz w:val="18"/>
          <w:szCs w:val="18"/>
        </w:rPr>
        <w:t>[21]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0721DA4A" w14:textId="77777777" w:rsidR="005A2826" w:rsidRDefault="005A2826">
      <w:pPr>
        <w:spacing w:after="60"/>
        <w:ind w:hanging="480"/>
        <w:divId w:val="85422075"/>
        <w:rPr>
          <w:rFonts w:ascii="Arial" w:hAnsi="Arial" w:cs="Arial"/>
          <w:sz w:val="18"/>
          <w:szCs w:val="18"/>
        </w:rPr>
      </w:pPr>
      <w:r>
        <w:rPr>
          <w:rFonts w:ascii="Arial" w:hAnsi="Arial" w:cs="Arial"/>
          <w:sz w:val="18"/>
          <w:szCs w:val="18"/>
        </w:rPr>
        <w:t>[22] M. Wuttig et al., Revisiting the Nature of Chemical Bonding in Chalcogenides to Explain and Design their Properties. Advanced Materials 35, 2208485 (2023).</w:t>
      </w:r>
    </w:p>
    <w:p>
      <w:pPr>
        <w:spacing w:after="60"/>
        <w:ind w:hanging="480"/>
        <w:divId w:val="85422075"/>
        <w:rPr>
          <w:rFonts w:ascii="Arial" w:hAnsi="Arial" w:cs="Arial"/>
          <w:sz w:val="18"/>
          <w:szCs w:val="18"/>
        </w:rPr>
      </w:pPr>
      <w:r>
        <w:rPr>
          <w:rFonts w:ascii="Arial" w:hAnsi="Arial" w:cs="Arial"/>
          <w:sz w:val="18"/>
          <w:szCs w:val="18"/>
        </w:rPr>
        <w:t xml:space="preserve">[23] A. Schulman, H. Huhtinen, P. Paturi, Manganite memristive devices: recent progress and emerging opportunities. Journal of Physics D: Applied Physics 57, 422001 (2024).</w:t>
      </w:r>
    </w:p>
    <w:p>
      <w:pPr>
        <w:spacing w:after="60"/>
        <w:ind w:hanging="480"/>
        <w:divId w:val="85422075"/>
        <w:rPr>
          <w:rFonts w:ascii="Arial" w:hAnsi="Arial" w:cs="Arial"/>
          <w:sz w:val="18"/>
          <w:szCs w:val="18"/>
        </w:rPr>
      </w:pPr>
      <w:r>
        <w:rPr>
          <w:rFonts w:ascii="Arial" w:hAnsi="Arial" w:cs="Arial"/>
          <w:sz w:val="18"/>
          <w:szCs w:val="18"/>
        </w:rPr>
        <w:t xml:space="preserve">[24] S. Kunwar et al., Reconfigurable Resistive Switching in VO2/La0.7Sr0.3MnO3/Al2O3 (0001) Memristive Devices for Neuromorphic Computing. ACS Applied Materials &amp; Interfaces 16, 19103–19111 (2024).</w:t>
      </w:r>
    </w:p>
    <w:p w14:paraId="38BFF744" w14:textId="77777777" w:rsidR="005A2826" w:rsidRDefault="005A2826">
      <w:pPr>
        <w:spacing w:after="60"/>
        <w:ind w:hanging="480"/>
        <w:divId w:val="8542207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77DAFE4" w14:textId="77777777" w:rsidR="005A2826" w:rsidRDefault="005A2826">
      <w:pPr>
        <w:spacing w:after="60"/>
        <w:ind w:hanging="480"/>
        <w:divId w:val="8542207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BD17C8A" w14:textId="77777777" w:rsidR="005A2826" w:rsidRDefault="005A2826">
      <w:pPr>
        <w:spacing w:after="60"/>
        <w:ind w:hanging="480"/>
        <w:divId w:val="8542207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EA3BB9B" w14:textId="77777777" w:rsidR="005A2826" w:rsidRDefault="005A2826">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DE662B9"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A6124B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CA608B"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7444DD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66562F"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51009"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67F06D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E97C29"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CDE13"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2D964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43FA7"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5A986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8137C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530CF"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6E788C"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48CE3E7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A50506"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BE9105"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E61B6C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401AC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50F8B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0ED29D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ADE2A3"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DC41B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40FD3092" w14:textId="77777777" w:rsidR="005A2826" w:rsidRDefault="005A2826">
      <w:pPr>
        <w:pStyle w:val="Heading2"/>
        <w:rPr>
          <w:rFonts w:ascii="Arial" w:eastAsia="Times New Roman" w:hAnsi="Arial" w:cs="Arial"/>
        </w:rPr>
      </w:pPr>
      <w:r>
        <w:rPr>
          <w:rFonts w:ascii="Arial" w:eastAsia="Times New Roman" w:hAnsi="Arial" w:cs="Arial"/>
        </w:rPr>
        <w:t>Fellowship benefits (for orientation, as of 2026)</w:t>
      </w:r>
    </w:p>
    <w:p w14:paraId="4C3D1C1E" w14:textId="77777777" w:rsidR="005A2826" w:rsidRDefault="005A2826">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5A282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361DA"/>
    <w:rsid w:val="005A2826"/>
    <w:rsid w:val="00973CE9"/>
    <w:rsid w:val="00A361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5F1BB2"/>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220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2366</Words>
  <Characters>13490</Characters>
  <Application>Microsoft Office Word</Application>
  <DocSecurity>4</DocSecurity>
  <Lines>112</Lines>
  <Paragraphs>31</Paragraphs>
  <ScaleCrop>false</ScaleCrop>
  <Company/>
  <LinksUpToDate>false</LinksUpToDate>
  <CharactersWithSpaces>15825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