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86843" w14:textId="77777777" w:rsidR="002902C7" w:rsidRDefault="002902C7">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C24C2F5" w14:textId="77777777" w:rsidR="002902C7" w:rsidRDefault="002902C7">
      <w:pPr>
        <w:pStyle w:val="NormalWeb"/>
        <w:rPr>
          <w:rFonts w:ascii="Arial" w:hAnsi="Arial" w:cs="Arial"/>
          <w:sz w:val="21"/>
          <w:szCs w:val="21"/>
        </w:rPr>
      </w:pPr>
      <w:r>
        <w:rPr>
          <w:rFonts w:ascii="Arial" w:hAnsi="Arial" w:cs="Arial"/>
          <w:sz w:val="21"/>
          <w:szCs w:val="21"/>
        </w:rPr>
        <w:t> </w:t>
      </w:r>
    </w:p>
    <w:p w14:paraId="09580B25" w14:textId="77777777" w:rsidR="002902C7" w:rsidRDefault="002902C7">
      <w:pPr>
        <w:pStyle w:val="NormalWeb"/>
        <w:rPr>
          <w:rFonts w:ascii="Arial" w:hAnsi="Arial" w:cs="Arial"/>
          <w:sz w:val="21"/>
          <w:szCs w:val="21"/>
        </w:rPr>
      </w:pPr>
      <w:r>
        <w:rPr>
          <w:rFonts w:ascii="Arial" w:hAnsi="Arial" w:cs="Arial"/>
          <w:sz w:val="21"/>
          <w:szCs w:val="21"/>
        </w:rPr>
        <w:t> </w:t>
      </w:r>
    </w:p>
    <w:p w14:paraId="11B051A0" w14:textId="77777777" w:rsidR="002902C7" w:rsidRDefault="002902C7">
      <w:pPr>
        <w:pStyle w:val="NormalWeb"/>
        <w:rPr>
          <w:rFonts w:ascii="Arial" w:hAnsi="Arial" w:cs="Arial"/>
          <w:sz w:val="21"/>
          <w:szCs w:val="21"/>
        </w:rPr>
      </w:pPr>
      <w:r>
        <w:rPr>
          <w:rFonts w:ascii="Arial" w:hAnsi="Arial" w:cs="Arial"/>
          <w:sz w:val="21"/>
          <w:szCs w:val="21"/>
        </w:rPr>
        <w:t> </w:t>
      </w:r>
    </w:p>
    <w:p w14:paraId="34383008" w14:textId="77777777" w:rsidR="002902C7" w:rsidRDefault="002902C7">
      <w:pPr>
        <w:pStyle w:val="center"/>
        <w:spacing w:before="0" w:beforeAutospacing="0" w:after="140"/>
        <w:rPr>
          <w:rFonts w:ascii="Arial" w:hAnsi="Arial" w:cs="Arial"/>
          <w:sz w:val="32"/>
          <w:szCs w:val="32"/>
        </w:rPr>
      </w:pPr>
      <w:r>
        <w:rPr>
          <w:rFonts w:ascii="Arial" w:hAnsi="Arial" w:cs="Arial"/>
          <w:b/>
          <w:bCs/>
          <w:sz w:val="32"/>
          <w:szCs w:val="32"/>
        </w:rPr>
        <w:t>COVMAP</w:t>
      </w:r>
    </w:p>
    <w:p w14:paraId="6A9772A1" w14:textId="77777777" w:rsidR="002902C7" w:rsidRDefault="002902C7">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4F156E84" w14:textId="77777777" w:rsidR="002902C7" w:rsidRDefault="002902C7">
      <w:pPr>
        <w:pStyle w:val="NormalWeb"/>
        <w:rPr>
          <w:rFonts w:ascii="Arial" w:hAnsi="Arial" w:cs="Arial"/>
          <w:sz w:val="21"/>
          <w:szCs w:val="21"/>
        </w:rPr>
      </w:pPr>
      <w:r>
        <w:rPr>
          <w:rFonts w:ascii="Arial" w:hAnsi="Arial" w:cs="Arial"/>
          <w:sz w:val="21"/>
          <w:szCs w:val="21"/>
        </w:rPr>
        <w:t> </w:t>
      </w:r>
    </w:p>
    <w:p w14:paraId="043DAA9A" w14:textId="77777777" w:rsidR="002902C7" w:rsidRDefault="002902C7">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661B6D75"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C697F5"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CD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5D419B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43121F"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1B095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5432B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0021F6"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3A9B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7925F94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F142CC"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C4C4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656D7F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DA1F2B"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EA9BF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BFB85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7F9D8"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F8986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0929DD5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3B8B67"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5FED9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261C601E" w14:textId="77777777" w:rsidR="002902C7" w:rsidRDefault="002902C7">
      <w:pPr>
        <w:pStyle w:val="NormalWeb"/>
        <w:rPr>
          <w:rFonts w:ascii="Arial" w:hAnsi="Arial" w:cs="Arial"/>
          <w:sz w:val="21"/>
          <w:szCs w:val="21"/>
        </w:rPr>
      </w:pPr>
      <w:r>
        <w:rPr>
          <w:rFonts w:ascii="Arial" w:hAnsi="Arial" w:cs="Arial"/>
          <w:sz w:val="21"/>
          <w:szCs w:val="21"/>
        </w:rPr>
        <w:t> </w:t>
      </w:r>
    </w:p>
    <w:p w14:paraId="29A023C2" w14:textId="77777777" w:rsidR="002902C7" w:rsidRDefault="002902C7">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7F88A08A" w14:textId="77777777" w:rsidR="002902C7" w:rsidRDefault="002902C7">
      <w:pPr>
        <w:pStyle w:val="Heading1"/>
        <w:pageBreakBefore/>
        <w:rPr>
          <w:rFonts w:ascii="Arial" w:eastAsia="Times New Roman" w:hAnsi="Arial" w:cs="Arial"/>
        </w:rPr>
      </w:pPr>
      <w:r>
        <w:rPr>
          <w:rFonts w:ascii="Arial" w:eastAsia="Times New Roman" w:hAnsi="Arial" w:cs="Arial"/>
        </w:rPr>
        <w:lastRenderedPageBreak/>
        <w:t>Part B1 – Extended Synopsis</w:t>
      </w:r>
    </w:p>
    <w:p w14:paraId="3783D0E2" w14:textId="77777777" w:rsidR="002902C7" w:rsidRDefault="002902C7">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56F14697" w14:textId="77777777" w:rsidR="002902C7" w:rsidRDefault="002902C7">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012DFC8E" w14:textId="77777777" w:rsidR="002902C7" w:rsidRDefault="002902C7">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C3E8410" w14:textId="77777777" w:rsidR="002902C7" w:rsidRDefault="002902C7">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55D47A8" w14:textId="77777777" w:rsidR="002902C7" w:rsidRDefault="002902C7">
      <w:pPr>
        <w:pStyle w:val="Heading2"/>
        <w:rPr>
          <w:rFonts w:ascii="Arial" w:eastAsia="Times New Roman" w:hAnsi="Arial" w:cs="Arial"/>
        </w:rPr>
      </w:pPr>
      <w:r>
        <w:rPr>
          <w:rFonts w:ascii="Arial" w:eastAsia="Times New Roman" w:hAnsi="Arial" w:cs="Arial"/>
        </w:rPr>
        <w:t>2  Why this is ground-breaking – and why it has not been done</w:t>
      </w:r>
    </w:p>
    <w:p w14:paraId="4692E846" w14:textId="77777777" w:rsidR="002902C7" w:rsidRDefault="002902C7">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Along the descriptor chain the evidence is complementary but nowhere complete: canonical covalency-vs-doping spectroscopy exists for the ferrite and manganite series [14], a quantitative EV(x) relation with explicit covalency reasoning only for the ferrites [13, 34], and switching at inert or noble interfaces proven for individual stoichiometries only (Pt/SrTiO3 with cation-stoichiometry control [22]; the Sr-rich ferrite end member under inert stacks [23–25]) – no system combines all three links, and the missing composition series are thus the field's untapped optimisation space, accessible from a demonstrated switching base.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0CE5A305" w14:textId="77777777" w:rsidR="002902C7" w:rsidRDefault="002902C7">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 deliberately the mechanism-stable manganite family – with an experimentally measured XAS covalency scale, tested directly against the only published composition-resolved switching dataset [20] [insert one-sentence headline result once available; manuscript in preparation, P1]. This is the proof of concept that the descriptor axis of the map can be measured, not merely computed.</w:t>
      </w:r>
    </w:p>
    <w:p w14:paraId="60ABA545" w14:textId="77777777" w:rsidR="002902C7" w:rsidRDefault="002902C7">
      <w:pPr>
        <w:pStyle w:val="Heading2"/>
        <w:rPr>
          <w:rFonts w:ascii="Arial" w:eastAsia="Times New Roman" w:hAnsi="Arial" w:cs="Arial"/>
        </w:rPr>
      </w:pPr>
      <w:r>
        <w:rPr>
          <w:rFonts w:ascii="Arial" w:eastAsia="Times New Roman" w:hAnsi="Arial" w:cs="Arial"/>
        </w:rPr>
        <w:t>3  Objectives</w:t>
      </w:r>
    </w:p>
    <w:p w14:paraId="33F03995" w14:textId="77777777" w:rsidR="002902C7" w:rsidRDefault="002902C7">
      <w:pPr>
        <w:pStyle w:val="NormalWeb"/>
        <w:spacing w:after="160"/>
        <w:divId w:val="1711765981"/>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 the descriptor methodology was de-risked on the manganite family,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1DDEA17" w14:textId="77777777" w:rsidR="002902C7" w:rsidRDefault="002902C7">
      <w:pPr>
        <w:pStyle w:val="NormalWeb"/>
        <w:spacing w:after="160"/>
        <w:divId w:val="1355763850"/>
        <w:rPr>
          <w:rFonts w:ascii="Arial" w:hAnsi="Arial" w:cs="Arial"/>
          <w:sz w:val="21"/>
          <w:szCs w:val="21"/>
        </w:rPr>
      </w:pPr>
      <w:r>
        <w:rPr>
          <w:rFonts w:ascii="Arial" w:hAnsi="Arial" w:cs="Arial"/>
          <w:b/>
          <w:bCs/>
          <w:sz w:val="21"/>
          <w:szCs w:val="21"/>
        </w:rPr>
        <w:t xml:space="preserve">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596A297A" w14:textId="77777777" w:rsidR="002902C7" w:rsidRDefault="002902C7">
      <w:pPr>
        <w:pStyle w:val="NormalWeb"/>
        <w:spacing w:after="160"/>
        <w:divId w:val="1417094182"/>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58C62534" w14:textId="77777777" w:rsidR="002902C7" w:rsidRDefault="002902C7">
      <w:pPr>
        <w:pStyle w:val="NormalWeb"/>
        <w:spacing w:after="160"/>
        <w:divId w:val="135889327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448E2DB5" w14:textId="77777777" w:rsidR="002902C7" w:rsidRDefault="002902C7">
      <w:pPr>
        <w:pStyle w:val="Heading2"/>
        <w:rPr>
          <w:rFonts w:ascii="Arial" w:eastAsia="Times New Roman" w:hAnsi="Arial" w:cs="Arial"/>
        </w:rPr>
      </w:pPr>
      <w:r>
        <w:rPr>
          <w:rFonts w:ascii="Arial" w:eastAsia="Times New Roman" w:hAnsi="Arial" w:cs="Arial"/>
        </w:rPr>
        <w:t>4  Approach and why I will succeed</w:t>
      </w:r>
    </w:p>
    <w:p w14:paraId="1D7C4F39" w14:textId="77777777" w:rsidR="002902C7" w:rsidRDefault="002902C7">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44F808B6" w14:textId="77777777" w:rsidR="002902C7" w:rsidRDefault="002902C7">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and established the O-K pre-edge covalency scale across it at SSRL, correlated against the published switching-vs-composition benchmark [20]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730122" w14:textId="77777777" w:rsidR="002902C7" w:rsidRDefault="002902C7">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28FF7F72" w14:textId="77777777" w:rsidR="002902C7" w:rsidRDefault="002902C7">
      <w:pPr>
        <w:pStyle w:val="Heading2"/>
        <w:rPr>
          <w:rFonts w:ascii="Arial" w:eastAsia="Times New Roman" w:hAnsi="Arial" w:cs="Arial"/>
        </w:rPr>
      </w:pPr>
      <w:r>
        <w:rPr>
          <w:rFonts w:ascii="Arial" w:eastAsia="Times New Roman" w:hAnsi="Arial" w:cs="Arial"/>
        </w:rPr>
        <w:t>References (Part B1)</w:t>
      </w:r>
    </w:p>
    <w:p w14:paraId="6CC9094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 R. Waser, M. Aono, Nature Materials 6, 833–840 (2007).</w:t>
      </w:r>
    </w:p>
    <w:p w14:paraId="777528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 R. Dittmann, S. Menzel, R. Waser, Advances in Physics 70, 155–349 (2021).</w:t>
      </w:r>
    </w:p>
    <w:p w14:paraId="64AB3C2D" w14:textId="77777777" w:rsidR="002902C7" w:rsidRDefault="002902C7">
      <w:pPr>
        <w:spacing w:after="60"/>
        <w:ind w:hanging="480"/>
        <w:divId w:val="1600261410"/>
        <w:rPr>
          <w:rFonts w:ascii="Arial" w:hAnsi="Arial" w:cs="Arial"/>
          <w:sz w:val="18"/>
          <w:szCs w:val="18"/>
        </w:rPr>
      </w:pPr>
      <w:r>
        <w:rPr>
          <w:rFonts w:ascii="Arial" w:hAnsi="Arial" w:cs="Arial"/>
          <w:sz w:val="18"/>
          <w:szCs w:val="18"/>
        </w:rPr>
        <w:t>[3] J. J. Yang, D. B. Strukov, D. R. Stewart, Nature Nanotechnology 8, 13–24 (2013).</w:t>
      </w:r>
    </w:p>
    <w:p w14:paraId="1830865B" w14:textId="77777777" w:rsidR="002902C7" w:rsidRDefault="002902C7">
      <w:pPr>
        <w:spacing w:after="60"/>
        <w:ind w:hanging="480"/>
        <w:divId w:val="1600261410"/>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89F1C24" w14:textId="77777777" w:rsidR="002902C7" w:rsidRDefault="002902C7">
      <w:pPr>
        <w:spacing w:after="60"/>
        <w:ind w:hanging="480"/>
        <w:divId w:val="1600261410"/>
        <w:rPr>
          <w:rFonts w:ascii="Arial" w:hAnsi="Arial" w:cs="Arial"/>
          <w:sz w:val="18"/>
          <w:szCs w:val="18"/>
        </w:rPr>
      </w:pPr>
      <w:r>
        <w:rPr>
          <w:rFonts w:ascii="Arial" w:hAnsi="Arial" w:cs="Arial"/>
          <w:sz w:val="18"/>
          <w:szCs w:val="18"/>
        </w:rPr>
        <w:t>[5] C. Baeumer et al., Nature Communications 6, 8610 (2015).</w:t>
      </w:r>
    </w:p>
    <w:p w14:paraId="2B0744B5" w14:textId="77777777" w:rsidR="002902C7" w:rsidRDefault="002902C7">
      <w:pPr>
        <w:spacing w:after="60"/>
        <w:ind w:hanging="480"/>
        <w:divId w:val="1600261410"/>
        <w:rPr>
          <w:rFonts w:ascii="Arial" w:hAnsi="Arial" w:cs="Arial"/>
          <w:sz w:val="18"/>
          <w:szCs w:val="18"/>
        </w:rPr>
      </w:pPr>
      <w:r>
        <w:rPr>
          <w:rFonts w:ascii="Arial" w:hAnsi="Arial" w:cs="Arial"/>
          <w:sz w:val="18"/>
          <w:szCs w:val="18"/>
        </w:rPr>
        <w:t>[6] C. Baeumer et al., Nature Communications 7, 12398 (2016).</w:t>
      </w:r>
    </w:p>
    <w:p w14:paraId="50E38D00" w14:textId="77777777" w:rsidR="002902C7" w:rsidRDefault="002902C7">
      <w:pPr>
        <w:spacing w:after="60"/>
        <w:ind w:hanging="480"/>
        <w:divId w:val="1600261410"/>
        <w:rPr>
          <w:rFonts w:ascii="Arial" w:hAnsi="Arial" w:cs="Arial"/>
          <w:sz w:val="18"/>
          <w:szCs w:val="18"/>
        </w:rPr>
      </w:pPr>
      <w:r>
        <w:rPr>
          <w:rFonts w:ascii="Arial" w:hAnsi="Arial" w:cs="Arial"/>
          <w:sz w:val="18"/>
          <w:szCs w:val="18"/>
        </w:rPr>
        <w:t>[7] Y.-L. Lee, J. Kleis, J. Rossmeisl, Y. Shao-Horn, D. Morgan, Energy &amp; Environmental Science 4, 3966–3970 (2011).</w:t>
      </w:r>
    </w:p>
    <w:p w14:paraId="44A50A26" w14:textId="77777777" w:rsidR="002902C7" w:rsidRDefault="002902C7">
      <w:pPr>
        <w:spacing w:after="60"/>
        <w:ind w:hanging="480"/>
        <w:divId w:val="1600261410"/>
        <w:rPr>
          <w:rFonts w:ascii="Arial" w:hAnsi="Arial" w:cs="Arial"/>
          <w:sz w:val="18"/>
          <w:szCs w:val="18"/>
        </w:rPr>
      </w:pPr>
      <w:r>
        <w:rPr>
          <w:rFonts w:ascii="Arial" w:hAnsi="Arial" w:cs="Arial"/>
          <w:sz w:val="18"/>
          <w:szCs w:val="18"/>
        </w:rPr>
        <w:t>[8] R. Jacobs, J. Hwang, Y. Shao-Horn, D. Morgan, Chemistry of Materials 31, 785–797 (2019).</w:t>
      </w:r>
    </w:p>
    <w:p w14:paraId="0A8322C8" w14:textId="77777777" w:rsidR="002902C7" w:rsidRDefault="002902C7">
      <w:pPr>
        <w:spacing w:after="60"/>
        <w:ind w:hanging="480"/>
        <w:divId w:val="1600261410"/>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63DA17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0BF3A4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[11] A. A. Emery, C. Wolverton, Scientific Data 4, 170153 (2017).</w:t>
      </w:r>
    </w:p>
    <w:p w14:paraId="032B9A6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[12] B. Baldassarri et al., Chemistry of Materials 35, 10619–10634 (2023).</w:t>
      </w:r>
    </w:p>
    <w:p w14:paraId="3ACFF8E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578C7D5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[14] M. Abbate et al., Physical Review B 46, 4511–4519 (1992).</w:t>
      </w:r>
    </w:p>
    <w:p w14:paraId="43B0CDF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[15] J. Suntivich et al., Journal of Physical Chemistry C 118, 1856–1863 (2014).</w:t>
      </w:r>
    </w:p>
    <w:p w14:paraId="70DA5D6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[16] F. Frati, M. O. J. Y. Hunault, F. M. F. de Groot, Chemical Reviews 120, 4056–4110 (2020).</w:t>
      </w:r>
    </w:p>
    <w:p w14:paraId="043D84F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[17] M. Wuttig et al., Advanced Materials 35, 2208485 (2023).</w:t>
      </w:r>
    </w:p>
    <w:p w14:paraId="4721F3A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[18] R. Schmitt, J. Spring, R. Korobko, J. L. M. Rupp, ACS Nano 11, 8881–8891 (2017).</w:t>
      </w:r>
    </w:p>
    <w:p w14:paraId="7C8C5EC5" w14:textId="77777777" w:rsidR="002902C7" w:rsidRDefault="002902C7">
      <w:pPr>
        <w:spacing w:after="60"/>
        <w:ind w:hanging="480"/>
        <w:divId w:val="1600261410"/>
        <w:rPr>
          <w:rFonts w:ascii="Arial" w:hAnsi="Arial" w:cs="Arial"/>
          <w:sz w:val="18"/>
          <w:szCs w:val="18"/>
        </w:rPr>
      </w:pPr>
      <w:r>
        <w:rPr>
          <w:rFonts w:ascii="Arial" w:hAnsi="Arial" w:cs="Arial"/>
          <w:sz w:val="18"/>
          <w:szCs w:val="18"/>
        </w:rPr>
        <w:t>[19] H. Jiang, D. A. Stewart, ACS Applied Materials &amp; Interfaces 9, 16296–16304 (2017).</w:t>
      </w:r>
    </w:p>
    <w:p w14:paraId="301CB2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[20] S. Asanuma, H. Akoh, H. Yamada, A. Sawa, Physical Review B 80, 235113 (2009).</w:t>
      </w:r>
    </w:p>
    <w:p w14:paraId="57F36AEE" w14:textId="77777777" w:rsidR="002902C7" w:rsidRDefault="002902C7">
      <w:pPr>
        <w:spacing w:after="60"/>
        <w:ind w:hanging="480"/>
        <w:divId w:val="1600261410"/>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305A21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[22] E. Mikheev, J. Hwang, A. P. Kajdos, A. J. Hauser, S. Stemmer, Scientific Reports 5, 11079 (2015).</w:t>
      </w:r>
    </w:p>
    <w:p w14:paraId="0CCF7A2F" w14:textId="77777777" w:rsidR="002902C7" w:rsidRDefault="002902C7">
      <w:pPr>
        <w:spacing w:after="60"/>
        <w:ind w:hanging="480"/>
        <w:divId w:val="1600261410"/>
        <w:rPr>
          <w:rFonts w:ascii="Arial" w:hAnsi="Arial" w:cs="Arial"/>
          <w:sz w:val="18"/>
          <w:szCs w:val="18"/>
        </w:rPr>
      </w:pPr>
      <w:r>
        <w:rPr>
          <w:rFonts w:ascii="Arial" w:hAnsi="Arial" w:cs="Arial"/>
          <w:sz w:val="18"/>
          <w:szCs w:val="18"/>
        </w:rPr>
        <w:t>[23] V. R. Nallagatla et al., Advanced Materials 31, 1903391 (2019).</w:t>
      </w:r>
    </w:p>
    <w:p w14:paraId="0E8F263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[24] J. Tian et al., Advanced Materials 31, 1903679 (2019).</w:t>
      </w:r>
    </w:p>
    <w:p w14:paraId="24B97D8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[25] X. Mou et al., Science Advances 7, eabh0648 (2021).</w:t>
      </w:r>
    </w:p>
    <w:p w14:paraId="7B112EFB" w14:textId="77777777" w:rsidR="002902C7" w:rsidRDefault="002902C7">
      <w:pPr>
        <w:spacing w:after="60"/>
        <w:ind w:hanging="480"/>
        <w:divId w:val="1600261410"/>
        <w:rPr>
          <w:rFonts w:ascii="Arial" w:hAnsi="Arial" w:cs="Arial"/>
          <w:sz w:val="18"/>
          <w:szCs w:val="18"/>
        </w:rPr>
      </w:pPr>
      <w:r>
        <w:rPr>
          <w:rFonts w:ascii="Arial" w:hAnsi="Arial" w:cs="Arial"/>
          <w:sz w:val="18"/>
          <w:szCs w:val="18"/>
        </w:rPr>
        <w:t>[26] P. Nizet et al., Applied Physics Reviews 11, 041426 (2024).</w:t>
      </w:r>
    </w:p>
    <w:p w14:paraId="5D4440F4" w14:textId="77777777" w:rsidR="002902C7" w:rsidRDefault="002902C7">
      <w:pPr>
        <w:spacing w:after="60"/>
        <w:ind w:hanging="480"/>
        <w:divId w:val="1600261410"/>
        <w:rPr>
          <w:rFonts w:ascii="Arial" w:hAnsi="Arial" w:cs="Arial"/>
          <w:sz w:val="18"/>
          <w:szCs w:val="18"/>
        </w:rPr>
      </w:pPr>
      <w:r>
        <w:rPr>
          <w:rFonts w:ascii="Arial" w:hAnsi="Arial" w:cs="Arial"/>
          <w:sz w:val="18"/>
          <w:szCs w:val="18"/>
        </w:rPr>
        <w:t>[27] U. Aschauer, R. Pfenninger, S. M. Selbach, T. Grande, N. A. Spaldin, Physical Review B 88, 054111 (2013).</w:t>
      </w:r>
    </w:p>
    <w:p w14:paraId="1E7CAE87" w14:textId="77777777" w:rsidR="002902C7" w:rsidRDefault="002902C7">
      <w:pPr>
        <w:spacing w:after="60"/>
        <w:ind w:hanging="480"/>
        <w:divId w:val="1600261410"/>
        <w:rPr>
          <w:rFonts w:ascii="Arial" w:hAnsi="Arial" w:cs="Arial"/>
          <w:sz w:val="18"/>
          <w:szCs w:val="18"/>
        </w:rPr>
      </w:pPr>
      <w:r>
        <w:rPr>
          <w:rFonts w:ascii="Arial" w:hAnsi="Arial" w:cs="Arial"/>
          <w:sz w:val="18"/>
          <w:szCs w:val="18"/>
        </w:rPr>
        <w:t>[28] M. Kubicek et al., ACS Nano 7, 3276–3286 (2013).</w:t>
      </w:r>
    </w:p>
    <w:p w14:paraId="30403B60" w14:textId="77777777" w:rsidR="002902C7" w:rsidRDefault="002902C7">
      <w:pPr>
        <w:spacing w:after="60"/>
        <w:ind w:hanging="480"/>
        <w:divId w:val="1600261410"/>
        <w:rPr>
          <w:rFonts w:ascii="Arial" w:hAnsi="Arial" w:cs="Arial"/>
          <w:sz w:val="18"/>
          <w:szCs w:val="18"/>
        </w:rPr>
      </w:pPr>
      <w:r>
        <w:rPr>
          <w:rFonts w:ascii="Arial" w:hAnsi="Arial" w:cs="Arial"/>
          <w:sz w:val="18"/>
          <w:szCs w:val="18"/>
        </w:rPr>
        <w:t>[29] G. J. H. M. Rijnders, G. Koster, D. H. A. Blank, H. Rogalla, Applied Physics Letters 70, 1888–1890 (1997).</w:t>
      </w:r>
    </w:p>
    <w:p w14:paraId="2B328C8C" w14:textId="77777777" w:rsidR="002902C7" w:rsidRDefault="002902C7">
      <w:pPr>
        <w:spacing w:after="60"/>
        <w:ind w:hanging="480"/>
        <w:divId w:val="1600261410"/>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600261410"/>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600261410"/>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600261410"/>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600261410"/>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600261410"/>
        <w:rPr>
          <w:rFonts w:ascii="Arial" w:hAnsi="Arial" w:cs="Arial"/>
          <w:sz w:val="18"/>
          <w:szCs w:val="18"/>
        </w:rPr>
      </w:pPr>
      <w:r>
        <w:rPr>
          <w:rFonts w:ascii="Arial" w:hAnsi="Arial" w:cs="Arial"/>
          <w:sz w:val="18"/>
          <w:szCs w:val="18"/>
        </w:rPr>
        <w:t xml:space="preserve">[35] A. Antola et al., ACS Applied Electronic Materials 7, 4242–4250 (2025).</w:t>
      </w:r>
    </w:p>
    <w:p w14:paraId="4D4692F4" w14:textId="77777777" w:rsidR="002902C7" w:rsidRDefault="002902C7">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780680B" w14:textId="77777777" w:rsidR="002902C7" w:rsidRDefault="002902C7">
      <w:pPr>
        <w:pStyle w:val="Heading2"/>
        <w:rPr>
          <w:rFonts w:ascii="Arial" w:eastAsia="Times New Roman" w:hAnsi="Arial" w:cs="Arial"/>
        </w:rPr>
      </w:pPr>
      <w:r>
        <w:rPr>
          <w:rFonts w:ascii="Arial" w:eastAsia="Times New Roman" w:hAnsi="Arial" w:cs="Arial"/>
        </w:rPr>
        <w:t>Personal details</w:t>
      </w:r>
    </w:p>
    <w:p w14:paraId="042439D4" w14:textId="77777777" w:rsidR="002902C7" w:rsidRDefault="002902C7">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7CCB2698" w14:textId="77777777" w:rsidR="002902C7" w:rsidRDefault="002902C7">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39227C26"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8949859"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7A53D04"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4CE37A1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0192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5A2FA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Pr</w:t>
            </w:r>
            <w:r>
              <w:rPr>
                <w:rFonts w:ascii="Arial" w:eastAsia="Times New Roman" w:hAnsi="Arial" w:cs="Arial"/>
                <w:sz w:val="19"/>
                <w:szCs w:val="19"/>
                <w:vertAlign w:val="subscript"/>
              </w:rPr>
              <w:t>1-x</w:t>
            </w:r>
            <w:r>
              <w:rPr>
                <w:rFonts w:ascii="Arial" w:eastAsia="Times New Roman" w:hAnsi="Arial" w:cs="Arial"/>
                <w:sz w:val="19"/>
                <w:szCs w:val="19"/>
              </w:rPr>
              <w:t>Ca</w:t>
            </w:r>
            <w:r>
              <w:rPr>
                <w:rFonts w:ascii="Arial" w:eastAsia="Times New Roman" w:hAnsi="Arial" w:cs="Arial"/>
                <w:sz w:val="19"/>
                <w:szCs w:val="19"/>
                <w:vertAlign w:val="subscript"/>
              </w:rPr>
              <w:t>x</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pilot series, XAS covalency scale at SSRL [manuscript in preparation, P1]</w:t>
            </w:r>
          </w:p>
        </w:tc>
      </w:tr>
      <w:tr w:rsidR="00000000" w14:paraId="1462395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CF2BA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C99B9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BF4855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D5C8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14405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15A0F0F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C6EF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29C61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0C258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4A003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608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AC90002" w14:textId="77777777" w:rsidR="002902C7" w:rsidRDefault="002902C7">
      <w:pPr>
        <w:pStyle w:val="Heading2"/>
        <w:rPr>
          <w:rFonts w:ascii="Arial" w:eastAsia="Times New Roman" w:hAnsi="Arial" w:cs="Arial"/>
        </w:rPr>
      </w:pPr>
      <w:r>
        <w:rPr>
          <w:rFonts w:ascii="Arial" w:eastAsia="Times New Roman" w:hAnsi="Arial" w:cs="Arial"/>
        </w:rPr>
        <w:t>Track record</w:t>
      </w:r>
    </w:p>
    <w:p w14:paraId="3C1235DA" w14:textId="77777777" w:rsidR="002902C7" w:rsidRDefault="002902C7">
      <w:pPr>
        <w:pStyle w:val="NormalWeb"/>
        <w:rPr>
          <w:rFonts w:ascii="Arial" w:hAnsi="Arial" w:cs="Arial"/>
          <w:sz w:val="21"/>
          <w:szCs w:val="21"/>
        </w:rPr>
      </w:pPr>
      <w:r>
        <w:rPr>
          <w:rFonts w:ascii="Arial" w:hAnsi="Arial" w:cs="Arial"/>
          <w:b/>
          <w:bCs/>
          <w:sz w:val="21"/>
          <w:szCs w:val="21"/>
        </w:rPr>
        <w:t>Selected publications:</w:t>
      </w:r>
    </w:p>
    <w:p w14:paraId="21A8C00B" w14:textId="77777777" w:rsidR="002902C7" w:rsidRDefault="002902C7">
      <w:pPr>
        <w:spacing w:after="60"/>
        <w:ind w:hanging="480"/>
        <w:divId w:val="705908417"/>
        <w:rPr>
          <w:rFonts w:ascii="Arial" w:hAnsi="Arial" w:cs="Arial"/>
          <w:sz w:val="18"/>
          <w:szCs w:val="18"/>
        </w:rPr>
      </w:pPr>
      <w:r>
        <w:rPr>
          <w:rFonts w:ascii="Arial" w:hAnsi="Arial" w:cs="Arial"/>
          <w:sz w:val="18"/>
          <w:szCs w:val="18"/>
        </w:rPr>
        <w:t>P1.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(from the Feodor Lynen fellowship; insert status – in preparation / submitted / published – at submission time).</w:t>
      </w:r>
    </w:p>
    <w:p w14:paraId="61DC2349" w14:textId="77777777" w:rsidR="002902C7" w:rsidRDefault="002902C7">
      <w:pPr>
        <w:spacing w:after="60"/>
        <w:ind w:hanging="480"/>
        <w:divId w:val="705908417"/>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54297B0" w14:textId="77777777" w:rsidR="002902C7" w:rsidRDefault="002902C7">
      <w:pPr>
        <w:spacing w:after="60"/>
        <w:ind w:hanging="480"/>
        <w:divId w:val="705908417"/>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76C2118D" w14:textId="77777777" w:rsidR="002902C7" w:rsidRDefault="002902C7">
      <w:pPr>
        <w:spacing w:after="60"/>
        <w:ind w:hanging="480"/>
        <w:divId w:val="705908417"/>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E284D87" w14:textId="77777777" w:rsidR="002902C7" w:rsidRDefault="002902C7">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3B32FEE6" w14:textId="77777777" w:rsidR="002902C7" w:rsidRDefault="002902C7">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2E6982A4" w14:textId="77777777" w:rsidR="002902C7" w:rsidRDefault="002902C7">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20C59330" w14:textId="77777777" w:rsidR="002902C7" w:rsidRDefault="002902C7">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56AC6876" w14:textId="77777777" w:rsidR="002902C7" w:rsidRDefault="002902C7">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2F305068" w14:textId="77777777" w:rsidR="002902C7" w:rsidRDefault="002902C7">
      <w:pPr>
        <w:pStyle w:val="Heading1"/>
        <w:pageBreakBefore/>
        <w:rPr>
          <w:rFonts w:ascii="Arial" w:eastAsia="Times New Roman" w:hAnsi="Arial" w:cs="Arial"/>
        </w:rPr>
      </w:pPr>
      <w:r>
        <w:rPr>
          <w:rFonts w:ascii="Arial" w:eastAsia="Times New Roman" w:hAnsi="Arial" w:cs="Arial"/>
        </w:rPr>
        <w:t>Part B2 – The Project Implementation (max. 7 pages)</w:t>
      </w:r>
    </w:p>
    <w:p w14:paraId="6B8981F1" w14:textId="77777777" w:rsidR="002902C7" w:rsidRDefault="002902C7">
      <w:pPr>
        <w:pStyle w:val="Heading2"/>
        <w:rPr>
          <w:rFonts w:ascii="Arial" w:eastAsia="Times New Roman" w:hAnsi="Arial" w:cs="Arial"/>
        </w:rPr>
      </w:pPr>
      <w:r>
        <w:rPr>
          <w:rFonts w:ascii="Arial" w:eastAsia="Times New Roman" w:hAnsi="Arial" w:cs="Arial"/>
        </w:rPr>
        <w:t>1  Work plan</w:t>
      </w:r>
    </w:p>
    <w:p w14:paraId="154AE46D" w14:textId="77777777" w:rsidR="002902C7" w:rsidRDefault="002902C7">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53B0CAEE"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29F665"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DE87DC"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50EF6D7"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A20498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201787A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5E9F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DC34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CA7CF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93D0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41BEA3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BB84B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DEDD5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DDED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E8EF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5707E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95E0C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DDB3E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4B447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8E4EC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1A9BEB2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887A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8540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B71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EA110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4E2F9D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98CDB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18FF8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0FEFA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68CA9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13A8D20B" w14:textId="77777777" w:rsidR="002902C7" w:rsidRDefault="002902C7">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4E8EAD10" w14:textId="77777777" w:rsidR="002902C7" w:rsidRDefault="002902C7">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7A9922B6"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2921A13"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9FF2DE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D900EE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36BE656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59C0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62FC"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72233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30E7F20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45DC1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1941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00772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6B60F9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3CCEB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D3D41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7D6A3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52292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3F5A9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8317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375E4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42C6A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F18B0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E85D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12940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591A39D0" w14:textId="77777777" w:rsidR="002902C7" w:rsidRDefault="002902C7">
      <w:pPr>
        <w:pStyle w:val="Heading2"/>
        <w:rPr>
          <w:rFonts w:ascii="Arial" w:eastAsia="Times New Roman" w:hAnsi="Arial" w:cs="Arial"/>
        </w:rPr>
      </w:pPr>
      <w:r>
        <w:rPr>
          <w:rFonts w:ascii="Arial" w:eastAsia="Times New Roman" w:hAnsi="Arial" w:cs="Arial"/>
        </w:rPr>
        <w:t>3  Team and environment</w:t>
      </w:r>
    </w:p>
    <w:p w14:paraId="5E28B3BB" w14:textId="77777777" w:rsidR="002902C7" w:rsidRDefault="002902C7">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5A83FE99" w14:textId="77777777" w:rsidR="002902C7" w:rsidRDefault="002902C7">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3D090DF3"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B227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FF67591"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3EDA22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68E7B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8D1E8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519592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72033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F16AA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2E488A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373F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602DC"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7E8B0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ED0C1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F5FA2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529FB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190A8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B5527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529C38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1B8D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6C8E4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73AC6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3A059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5B558"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D2DEF4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F09F7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2283F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1C1BE9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4242E0"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0C666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7F265B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B93E7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9DF0A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24162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8E9B92"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31FC1"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0125137C" w14:textId="77777777" w:rsidR="002902C7" w:rsidRDefault="002902C7">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06691A19" w14:textId="77777777" w:rsidR="002902C7" w:rsidRDefault="002902C7">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2902C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D4C57"/>
    <w:rsid w:val="002902C7"/>
    <w:rsid w:val="009521A0"/>
    <w:rsid w:val="009D4C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B6AF2D"/>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08417">
      <w:marLeft w:val="0"/>
      <w:marRight w:val="0"/>
      <w:marTop w:val="0"/>
      <w:marBottom w:val="0"/>
      <w:divBdr>
        <w:top w:val="none" w:sz="0" w:space="0" w:color="auto"/>
        <w:left w:val="none" w:sz="0" w:space="0" w:color="auto"/>
        <w:bottom w:val="none" w:sz="0" w:space="0" w:color="auto"/>
        <w:right w:val="none" w:sz="0" w:space="0" w:color="auto"/>
      </w:divBdr>
    </w:div>
    <w:div w:id="1355763850">
      <w:marLeft w:val="0"/>
      <w:marRight w:val="0"/>
      <w:marTop w:val="0"/>
      <w:marBottom w:val="160"/>
      <w:divBdr>
        <w:top w:val="none" w:sz="0" w:space="0" w:color="auto"/>
        <w:left w:val="single" w:sz="24" w:space="8" w:color="003D7A"/>
        <w:bottom w:val="none" w:sz="0" w:space="0" w:color="auto"/>
        <w:right w:val="none" w:sz="0" w:space="0" w:color="auto"/>
      </w:divBdr>
    </w:div>
    <w:div w:id="1358893276">
      <w:marLeft w:val="0"/>
      <w:marRight w:val="0"/>
      <w:marTop w:val="0"/>
      <w:marBottom w:val="160"/>
      <w:divBdr>
        <w:top w:val="none" w:sz="0" w:space="0" w:color="auto"/>
        <w:left w:val="single" w:sz="24" w:space="8" w:color="003D7A"/>
        <w:bottom w:val="none" w:sz="0" w:space="0" w:color="auto"/>
        <w:right w:val="none" w:sz="0" w:space="0" w:color="auto"/>
      </w:divBdr>
    </w:div>
    <w:div w:id="1417094182">
      <w:marLeft w:val="0"/>
      <w:marRight w:val="0"/>
      <w:marTop w:val="0"/>
      <w:marBottom w:val="160"/>
      <w:divBdr>
        <w:top w:val="none" w:sz="0" w:space="0" w:color="auto"/>
        <w:left w:val="single" w:sz="24" w:space="8" w:color="003D7A"/>
        <w:bottom w:val="none" w:sz="0" w:space="0" w:color="auto"/>
        <w:right w:val="none" w:sz="0" w:space="0" w:color="auto"/>
      </w:divBdr>
    </w:div>
    <w:div w:id="1600261410">
      <w:marLeft w:val="0"/>
      <w:marRight w:val="0"/>
      <w:marTop w:val="0"/>
      <w:marBottom w:val="0"/>
      <w:divBdr>
        <w:top w:val="none" w:sz="0" w:space="0" w:color="auto"/>
        <w:left w:val="none" w:sz="0" w:space="0" w:color="auto"/>
        <w:bottom w:val="none" w:sz="0" w:space="0" w:color="auto"/>
        <w:right w:val="none" w:sz="0" w:space="0" w:color="auto"/>
      </w:divBdr>
    </w:div>
    <w:div w:id="1711765981">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3443</Words>
  <Characters>19628</Characters>
  <Application>Microsoft Office Word</Application>
  <DocSecurity>4</DocSecurity>
  <Lines>163</Lines>
  <Paragraphs>46</Paragraphs>
  <ScaleCrop>false</ScaleCrop>
  <Company/>
  <LinksUpToDate>false</LinksUpToDate>
  <CharactersWithSpaces>23025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