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La1-xSrxMnO3 series the covalency axis is the calibration standard of the field [46], while EV is anchored only generically [42–44] and no switching at a noble-metal interface has been reported for any composition; and stoichiometry-controlled switching at a Pt interface has so far been shown only for the cation stoichiometry of SrTiO3 [78].</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