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with its switching-proven SrCoOx anchor, measured under inert Au/Pt electrodes – the geometry in which the end member’s switching is already published – with an experimentally measured XAS covalency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w:t>
      </w:r>
      <w:r>
        <w:rPr>
          <w:rFonts w:ascii="Arial" w:hAnsi="Arial" w:cs="Arial"/>
          <w:sz w:val="21"/>
          <w:szCs w:val="21"/>
        </w:rPr>
        <w:t xml:space="preserve">building on the noble-electrode descriptor methodology (inert-contact devices + XAS covalency scale) that I de-risked on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with its SrCoOx anchor, established the O-K/Co-L covalency scale across it at SSRL, and correlated it with switching in noble-contact devices</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covalency descriptors for memristive cobaltites: epitaxial </w:t>
            </w:r>
            <w:r>
              <w:rPr>
                <w:rFonts w:ascii="Arial" w:eastAsia="Times New Roman" w:hAnsi="Arial" w:cs="Arial"/>
                <w:sz w:val="19"/>
                <w:szCs w:val="19"/>
              </w:rPr>
              <w:t xml:space="preserve">La</w:t>
            </w:r>
            <w:r>
              <w:rPr>
                <w:rFonts w:ascii="Arial" w:eastAsia="Times New Roman" w:hAnsi="Arial" w:cs="Arial"/>
                <w:sz w:val="19"/>
                <w:szCs w:val="19"/>
                <w:vertAlign w:val="subscript"/>
              </w:rPr>
              <w:t xml:space="preserve">1-x</w:t>
            </w:r>
            <w:r>
              <w:rPr>
                <w:rFonts w:ascii="Arial" w:eastAsia="Times New Roman" w:hAnsi="Arial" w:cs="Arial"/>
                <w:sz w:val="19"/>
                <w:szCs w:val="19"/>
              </w:rPr>
              <w:t xml:space="preserve">Sr</w:t>
            </w:r>
            <w:r>
              <w:rPr>
                <w:rFonts w:ascii="Arial" w:eastAsia="Times New Roman" w:hAnsi="Arial" w:cs="Arial"/>
                <w:sz w:val="19"/>
                <w:szCs w:val="19"/>
                <w:vertAlign w:val="subscript"/>
              </w:rPr>
              <w:t xml:space="preserve">x</w:t>
            </w:r>
            <w:r>
              <w:rPr>
                <w:rFonts w:ascii="Arial" w:eastAsia="Times New Roman" w:hAnsi="Arial" w:cs="Arial"/>
                <w:sz w:val="19"/>
                <w:szCs w:val="19"/>
              </w:rPr>
              <w:t xml:space="preserve">CoO</w:t>
            </w:r>
            <w:r>
              <w:rPr>
                <w:rFonts w:ascii="Arial" w:eastAsia="Times New Roman" w:hAnsi="Arial" w:cs="Arial"/>
                <w:sz w:val="19"/>
                <w:szCs w:val="19"/>
                <w:vertAlign w:val="subscript"/>
              </w:rPr>
              <w:t xml:space="preserve">3-δ</w:t>
            </w:r>
            <w:r>
              <w:rPr>
                <w:rFonts w:ascii="Arial" w:eastAsia="Times New Roman" w:hAnsi="Arial" w:cs="Arial"/>
                <w:sz w:val="19"/>
                <w:szCs w:val="19"/>
              </w:rPr>
              <w:t xml:space="preserve"> pilot series with noble-contact devices,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An experimental covalency scale for memristive La1-xSrxCoO3-δ</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