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Marie Skłodowska-Curie Actions – Postdoctoral Fellowship (Global Fellowship)</w:t>
      </w:r>
    </w:p>
    <w:p>
      <w:pPr>
        <w:pStyle w:val="Title"/>
      </w:pPr>
      <w:r>
        <w:t xml:space="preserve">Covalency as an Experimental Descriptor of Memristive Switching: the La1-xSrxFeO3-δ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36 months (24 outgoing + 12 return)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Global Postdoctoral Fellowship: 24-month outgoing phase at Stanford University / SLAC (third country) + mandatory 12-month return phase at the European host [FZ Jülich or RWTH Aachen as applicant/beneficiary organisation]</w:t>
            </w:r>
          </w:p>
        </w:tc>
      </w:tr>
      <w:tr>
        <w:tc>
          <w:tcPr>
            <w:tcW w:type="dxa" w:w="2400"/>
            <w:shd w:fill="EEF1F5" w:val="clear"/>
            <w:tcMar>
              <w:top w:type="dxa" w:w="50"/>
              <w:left w:type="dxa" w:w="90"/>
              <w:bottom w:type="dxa" w:w="50"/>
              <w:right w:type="dxa" w:w="90"/>
            </w:tcMar>
          </w:tcPr>
          <w:p>
            <w:r>
              <w:rPr>
                <w:b/>
                <w:bCs/>
                <w:sz w:val="19"/>
                <w:szCs w:val="19"/>
              </w:rPr>
              <w:t xml:space="preserve">Funding</w:t>
            </w:r>
          </w:p>
        </w:tc>
        <w:tc>
          <w:tcPr>
            <w:tcW w:type="dxa" w:w="6672"/>
            <w:tcMar>
              <w:top w:type="dxa" w:w="50"/>
              <w:left w:type="dxa" w:w="90"/>
              <w:bottom w:type="dxa" w:w="50"/>
              <w:right w:type="dxa" w:w="90"/>
            </w:tcMar>
          </w:tcPr>
          <w:p>
            <w:r>
              <w:rPr>
                <w:b w:val="false"/>
                <w:bCs w:val="false"/>
                <w:sz w:val="19"/>
                <w:szCs w:val="19"/>
              </w:rPr>
              <w:t xml:space="preserve">Horizon Europe unit costs: living, mobility and (if applicable) family allowances, country-corrected [insert current rates]</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PhD ≤ 8 years at call deadline; MSCA mobility rule for the outgoing host country (max. 12 months in the USA within the 36 months before the deadline) [verify against personal record]</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single-stage call [insert current deadline, typically September], submitted by the European host institution</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Explicit training, supervision and two-way knowledge-transfer requirements; funded 12-month return phase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(ON/OFF ratio, forming voltage, retention). Energy research, by contrast, has quantitatively established that EV in perovskites is controlled by the metal–oxygen covalency: the O-2p band centre scales linearly with EV and serves as a descriptor for catalysis and oxygen transport [5–8]. My project connects these two worlds experimentally for the first time – using the ideally suited model series La1-xSrxFeO3-δ (LSFO).</w:t>
      </w:r>
    </w:p>
    <w:p>
      <w:pPr>
        <w:spacing w:after="120"/>
      </w:pPr>
      <w:r>
        <w:t xml:space="preserve">LSFO is the perfect test system: substituting La3+ by Sr2+ lowers EV continuously from about 4 eV (x = 0) to below 1 eV (x = 0.5) [9] – with the SrFeO3 end member similarly reducible [22] – and increases the Fe–O covalency measurably in the O-K pre-edge of X-ray absorption [10, 11] – at unchanged perovskite structure. Both end members are documented switching materials: SrFeO3-δ/SrFeO2.5 switches topotactically – under inert Au/SrRuO3 electrode stacks – with ON/OFF ratios around 104 [12, 13], while LaFeO3, a robust insulator, is only rudimentarily switching-active [14, 23]. For the intermediate compositions, however, not a single memristor study exists – a gap secured by my systematic literature analysis. The closest existing work controls the conductivity of La0.5Sr0.5FeO3-δ electrochemically over four orders of magnitude [15], demonstrating feasibility without answering the memristor question. The few stoichiometry-dependent switching studies on related manganites consistently show a non-monotonic optimum of the switching window with doping [16, 17] – my central hypothesis is therefore that the usable switching window of LSFO is maximal at intermediate covalency (“Goldilocks zone”) and that this position can be predicted from the XAS covalency descriptor. Because switching under inert electrode stacks is already demonstrated at the Sr-rich end, the unexplored intermediate series is an optimisation space rather than a feasibility risk: the project both maps the covalency correlation and optimises the switching window via the Sr content. A known design constraint is addressed head-on: near the Sr-rich end member the switching mechanism changes character (topotactic brownmillerite transition [12, 13]) – the series therefore doubles as a controlled approach to a mechanism boundary, which is itself charted rather than avoided.</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[24] and as extracted compound by compound by the configuration-interaction analyses of Fujimori, Bocquet, Saitoh, Sarma and co-workers [25–28]. O-K pre-edge intensities serve as a relative, series-internal hybridisation measure only; their limits as an absolute covalency scale (core-hole effects, ligand-hole distribution, band effects) are treated explicitly [29], and the conflation of hybridisation with covalency that is common in the catalysis-descriptor literature is deliberately avoided – the descriptor scale of this project is calibrated against cluster-model analysis, not against pre-edge intensity alone. System-specific parameter status (re-screening, 09.08.2026): the CI parameter basis of this series is among the strongest of any oxide family – both end members are quantitatively anchored, LaFeO3 with positive Δ and SrFeO3 with negative charge-transfer energy [30], recently reconfirmed by HAXPES (Δ ≈ −1.0 eV) [31], and series spectroscopy with CI anchoring exists [32]; the series thus crosses the sign of Δ, the conceptually richest descriptor axis of the portfolio.</w:t>
      </w:r>
    </w:p>
    <w:p>
      <w:pPr>
        <w:pStyle w:val="Heading1"/>
        <w:spacing w:after="120" w:before="240"/>
      </w:pPr>
      <w:r>
        <w:t xml:space="preserve">2  Programme fit and strategy</w:t>
      </w:r>
    </w:p>
    <w:p>
      <w:pPr>
        <w:spacing w:after="120"/>
      </w:pPr>
      <w:r>
        <w:t xml:space="preserve">The MSCA Global Fellowship funds the project as a 24-month outgoing phase at Stanford plus a mandatory, funded 12-month return phase at the European host. The return phase institutionalises exactly what the planned group programme needs: transfer of the SSRL-proven XAS protocols to European beamlines, integration of the descriptor dataset into the map, and preparation of the ERC/Emmy Noether bid. MSCA-specific proposal sections (training objectives, supervision arrangement between Prof. Chueh and the German host, dissemination and exploitation plan, two-way transfer of knowledge) must be completed per the current template.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[18–20]. The group’s seminal work on the redox activity of oxygen anions in oxygen-deficient perovskites [19] is a direct methodological blueprint for my project; the Nature Materials study on atomically defined LaNiO3 surfaces [20]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of the LSFO series (months 1–10, Stanford)</w:t>
      </w:r>
    </w:p>
    <w:p>
      <w:pPr>
        <w:spacing w:after="120"/>
      </w:pPr>
      <w:r>
        <w:t xml:space="preserve">PLD growth of epitaxial La1-xSrxFeO3-δ films (x = 0; 0.2; 0.33; 0.5; 0.67; 1) on Nb:SrTiO3 substrates in the Stanford/SLAC thin-film laboratories; structural validation (XRD, AFM); determination of cation and oxygen stoichiometry (XPS, RBS where required). In parallel, first XAS campaign at SSRL: O-K pre-edge quantification following the procedure of Suntivich et al. [11] and Fe-L2,3 valence analysis for every composition → experimental covalency scale of the series. Milestone M1 (month 10): validated sample series with complete descriptor set.</w:t>
      </w:r>
    </w:p>
    <w:p>
      <w:pPr>
        <w:spacing w:after="120"/>
      </w:pPr>
      <w:r>
        <w:rPr>
          <w:b/>
          <w:bCs/>
        </w:rPr>
        <w:t xml:space="preserve">WP2 – Devices and switching characterisation (months 8–18, Stanford)</w:t>
      </w:r>
    </w:p>
    <w:p>
      <w:pPr>
        <w:spacing w:after="120"/>
      </w:pPr>
      <w:r>
        <w:t xml:space="preserve">Processing of identical Pt/LSFO/Nb:SrTiO3 cell arrays (≥ 30 cells per composition) with photolithographic patterning; quasistatic and pulsed switching characterisation following the statistics protocol established in my doctorate (ON/OFF at defined read-out voltage, forming requirement, switching kinetics, temperature-accelerated retention, endurance). Milestone M2 (month 18): switching figures of merit as a function of x with robust statistics.</w:t>
      </w:r>
    </w:p>
    <w:p>
      <w:pPr>
        <w:spacing w:after="120"/>
      </w:pPr>
      <w:r>
        <w:rPr>
          <w:b/>
          <w:bCs/>
        </w:rPr>
        <w:t xml:space="preserve">WP3 – Correlation, operando validation and publication (months 16–24, Stanford)</w:t>
      </w:r>
    </w:p>
    <w:p>
      <w:pPr>
        <w:spacing w:after="120"/>
      </w:pPr>
      <w:r>
        <w:t xml:space="preserve">Correlation analysis covalency (XAS) ↔ EV (literature DFT [9]) ↔ switching metrics; test of the optimum hypothesis. Second SSRL campaign: XAS on switched cells (ex-situ before/after switching, operando if successful) to verify that the composition-dependent differences indeed rest on different VO dynamics. Publication of the first covalency-resolved memristor study of a perovskite series; dataset released following FAIR principles. Milestone M3 (month 24): submitted publication(s), public dataset.</w:t>
      </w:r>
    </w:p>
    <w:p>
      <w:pPr>
        <w:spacing w:after="120"/>
      </w:pPr>
      <w:r>
        <w:rPr>
          <w:b/>
          <w:bCs/>
        </w:rPr>
        <w:t xml:space="preserve">WP4 – Return phase: European transfer and map integration (months 25–36, [RWTH Aachen / FZ Jülich])</w:t>
      </w:r>
    </w:p>
    <w:p>
      <w:pPr>
        <w:spacing w:after="120"/>
      </w:pPr>
      <w:r>
        <w:t xml:space="preserve">European beamline campaigns (BESSY II/PETRA III) transferring the SSRL-proven XAS protocols; cross-class integration of the descriptor dataset into the map; publication of the extended dataset; preparation and submission of the junior-group proposal (Emmy Noether/ERC); supervision and training plan per MSCA rules spanning both phases. Milestone M4 (month 36): map integration complete, group proposal submitted.</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12"/>
        <w:gridCol w:w="555"/>
        <w:gridCol w:w="555"/>
        <w:gridCol w:w="555"/>
        <w:gridCol w:w="555"/>
        <w:gridCol w:w="555"/>
        <w:gridCol w:w="555"/>
        <w:gridCol w:w="555"/>
        <w:gridCol w:w="555"/>
        <w:gridCol w:w="555"/>
        <w:gridCol w:w="555"/>
        <w:gridCol w:w="555"/>
        <w:gridCol w:w="555"/>
      </w:tblGrid>
      <w:tr>
        <w:tc>
          <w:tcPr>
            <w:tcW w:type="dxa" w:w="2412"/>
            <w:shd w:fill="EEF1F5" w:val="clear"/>
            <w:tcMar>
              <w:top w:type="dxa" w:w="50"/>
              <w:left w:type="dxa" w:w="90"/>
              <w:bottom w:type="dxa" w:w="50"/>
              <w:right w:type="dxa" w:w="90"/>
            </w:tcMar>
          </w:tcPr>
          <w:p>
            <w:r>
              <w:rPr>
                <w:b/>
                <w:bCs/>
                <w:sz w:val="19"/>
                <w:szCs w:val="19"/>
              </w:rPr>
              <w:t xml:space="preserve">Work package</w:t>
            </w:r>
          </w:p>
        </w:tc>
        <w:tc>
          <w:tcPr>
            <w:tcW w:type="dxa" w:w="555"/>
            <w:shd w:fill="EEF1F5" w:val="clear"/>
            <w:tcMar>
              <w:top w:type="dxa" w:w="50"/>
              <w:left w:type="dxa" w:w="90"/>
              <w:bottom w:type="dxa" w:w="50"/>
              <w:right w:type="dxa" w:w="90"/>
            </w:tcMar>
          </w:tcPr>
          <w:p>
            <w:r>
              <w:rPr>
                <w:b/>
                <w:bCs/>
                <w:sz w:val="19"/>
                <w:szCs w:val="19"/>
              </w:rPr>
              <w:t xml:space="preserve">Q1</w:t>
            </w:r>
          </w:p>
        </w:tc>
        <w:tc>
          <w:tcPr>
            <w:tcW w:type="dxa" w:w="555"/>
            <w:shd w:fill="EEF1F5" w:val="clear"/>
            <w:tcMar>
              <w:top w:type="dxa" w:w="50"/>
              <w:left w:type="dxa" w:w="90"/>
              <w:bottom w:type="dxa" w:w="50"/>
              <w:right w:type="dxa" w:w="90"/>
            </w:tcMar>
          </w:tcPr>
          <w:p>
            <w:r>
              <w:rPr>
                <w:b/>
                <w:bCs/>
                <w:sz w:val="19"/>
                <w:szCs w:val="19"/>
              </w:rPr>
              <w:t xml:space="preserve">Q2</w:t>
            </w:r>
          </w:p>
        </w:tc>
        <w:tc>
          <w:tcPr>
            <w:tcW w:type="dxa" w:w="555"/>
            <w:shd w:fill="EEF1F5" w:val="clear"/>
            <w:tcMar>
              <w:top w:type="dxa" w:w="50"/>
              <w:left w:type="dxa" w:w="90"/>
              <w:bottom w:type="dxa" w:w="50"/>
              <w:right w:type="dxa" w:w="90"/>
            </w:tcMar>
          </w:tcPr>
          <w:p>
            <w:r>
              <w:rPr>
                <w:b/>
                <w:bCs/>
                <w:sz w:val="19"/>
                <w:szCs w:val="19"/>
              </w:rPr>
              <w:t xml:space="preserve">Q3</w:t>
            </w:r>
          </w:p>
        </w:tc>
        <w:tc>
          <w:tcPr>
            <w:tcW w:type="dxa" w:w="555"/>
            <w:shd w:fill="EEF1F5" w:val="clear"/>
            <w:tcMar>
              <w:top w:type="dxa" w:w="50"/>
              <w:left w:type="dxa" w:w="90"/>
              <w:bottom w:type="dxa" w:w="50"/>
              <w:right w:type="dxa" w:w="90"/>
            </w:tcMar>
          </w:tcPr>
          <w:p>
            <w:r>
              <w:rPr>
                <w:b/>
                <w:bCs/>
                <w:sz w:val="19"/>
                <w:szCs w:val="19"/>
              </w:rPr>
              <w:t xml:space="preserve">Q4</w:t>
            </w:r>
          </w:p>
        </w:tc>
        <w:tc>
          <w:tcPr>
            <w:tcW w:type="dxa" w:w="555"/>
            <w:shd w:fill="EEF1F5" w:val="clear"/>
            <w:tcMar>
              <w:top w:type="dxa" w:w="50"/>
              <w:left w:type="dxa" w:w="90"/>
              <w:bottom w:type="dxa" w:w="50"/>
              <w:right w:type="dxa" w:w="90"/>
            </w:tcMar>
          </w:tcPr>
          <w:p>
            <w:r>
              <w:rPr>
                <w:b/>
                <w:bCs/>
                <w:sz w:val="19"/>
                <w:szCs w:val="19"/>
              </w:rPr>
              <w:t xml:space="preserve">Q5</w:t>
            </w:r>
          </w:p>
        </w:tc>
        <w:tc>
          <w:tcPr>
            <w:tcW w:type="dxa" w:w="555"/>
            <w:shd w:fill="EEF1F5" w:val="clear"/>
            <w:tcMar>
              <w:top w:type="dxa" w:w="50"/>
              <w:left w:type="dxa" w:w="90"/>
              <w:bottom w:type="dxa" w:w="50"/>
              <w:right w:type="dxa" w:w="90"/>
            </w:tcMar>
          </w:tcPr>
          <w:p>
            <w:r>
              <w:rPr>
                <w:b/>
                <w:bCs/>
                <w:sz w:val="19"/>
                <w:szCs w:val="19"/>
              </w:rPr>
              <w:t xml:space="preserve">Q6</w:t>
            </w:r>
          </w:p>
        </w:tc>
        <w:tc>
          <w:tcPr>
            <w:tcW w:type="dxa" w:w="555"/>
            <w:shd w:fill="EEF1F5" w:val="clear"/>
            <w:tcMar>
              <w:top w:type="dxa" w:w="50"/>
              <w:left w:type="dxa" w:w="90"/>
              <w:bottom w:type="dxa" w:w="50"/>
              <w:right w:type="dxa" w:w="90"/>
            </w:tcMar>
          </w:tcPr>
          <w:p>
            <w:r>
              <w:rPr>
                <w:b/>
                <w:bCs/>
                <w:sz w:val="19"/>
                <w:szCs w:val="19"/>
              </w:rPr>
              <w:t xml:space="preserve">Q7</w:t>
            </w:r>
          </w:p>
        </w:tc>
        <w:tc>
          <w:tcPr>
            <w:tcW w:type="dxa" w:w="555"/>
            <w:shd w:fill="EEF1F5" w:val="clear"/>
            <w:tcMar>
              <w:top w:type="dxa" w:w="50"/>
              <w:left w:type="dxa" w:w="90"/>
              <w:bottom w:type="dxa" w:w="50"/>
              <w:right w:type="dxa" w:w="90"/>
            </w:tcMar>
          </w:tcPr>
          <w:p>
            <w:r>
              <w:rPr>
                <w:b/>
                <w:bCs/>
                <w:sz w:val="19"/>
                <w:szCs w:val="19"/>
              </w:rPr>
              <w:t xml:space="preserve">Q8</w:t>
            </w:r>
          </w:p>
        </w:tc>
        <w:tc>
          <w:tcPr>
            <w:tcW w:type="dxa" w:w="555"/>
            <w:shd w:fill="EEF1F5" w:val="clear"/>
            <w:tcMar>
              <w:top w:type="dxa" w:w="50"/>
              <w:left w:type="dxa" w:w="90"/>
              <w:bottom w:type="dxa" w:w="50"/>
              <w:right w:type="dxa" w:w="90"/>
            </w:tcMar>
          </w:tcPr>
          <w:p>
            <w:r>
              <w:rPr>
                <w:b/>
                <w:bCs/>
                <w:sz w:val="19"/>
                <w:szCs w:val="19"/>
              </w:rPr>
              <w:t xml:space="preserve">Q9</w:t>
            </w:r>
          </w:p>
        </w:tc>
        <w:tc>
          <w:tcPr>
            <w:tcW w:type="dxa" w:w="555"/>
            <w:shd w:fill="EEF1F5" w:val="clear"/>
            <w:tcMar>
              <w:top w:type="dxa" w:w="50"/>
              <w:left w:type="dxa" w:w="90"/>
              <w:bottom w:type="dxa" w:w="50"/>
              <w:right w:type="dxa" w:w="90"/>
            </w:tcMar>
          </w:tcPr>
          <w:p>
            <w:r>
              <w:rPr>
                <w:b/>
                <w:bCs/>
                <w:sz w:val="19"/>
                <w:szCs w:val="19"/>
              </w:rPr>
              <w:t xml:space="preserve">Q10</w:t>
            </w:r>
          </w:p>
        </w:tc>
        <w:tc>
          <w:tcPr>
            <w:tcW w:type="dxa" w:w="555"/>
            <w:shd w:fill="EEF1F5" w:val="clear"/>
            <w:tcMar>
              <w:top w:type="dxa" w:w="50"/>
              <w:left w:type="dxa" w:w="90"/>
              <w:bottom w:type="dxa" w:w="50"/>
              <w:right w:type="dxa" w:w="90"/>
            </w:tcMar>
          </w:tcPr>
          <w:p>
            <w:r>
              <w:rPr>
                <w:b/>
                <w:bCs/>
                <w:sz w:val="19"/>
                <w:szCs w:val="19"/>
              </w:rPr>
              <w:t xml:space="preserve">Q11</w:t>
            </w:r>
          </w:p>
        </w:tc>
        <w:tc>
          <w:tcPr>
            <w:tcW w:type="dxa" w:w="555"/>
            <w:shd w:fill="EEF1F5" w:val="clear"/>
            <w:tcMar>
              <w:top w:type="dxa" w:w="50"/>
              <w:left w:type="dxa" w:w="90"/>
              <w:bottom w:type="dxa" w:w="50"/>
              <w:right w:type="dxa" w:w="90"/>
            </w:tcMar>
          </w:tcPr>
          <w:p>
            <w:r>
              <w:rPr>
                <w:b/>
                <w:bCs/>
                <w:sz w:val="19"/>
                <w:szCs w:val="19"/>
              </w:rPr>
              <w:t xml:space="preserve">Q12</w:t>
            </w:r>
          </w:p>
        </w:tc>
      </w:tr>
      <w:tr>
        <w:tc>
          <w:tcPr>
            <w:tcW w:type="dxa" w:w="2412"/>
            <w:tcMar>
              <w:top w:type="dxa" w:w="50"/>
              <w:left w:type="dxa" w:w="90"/>
              <w:bottom w:type="dxa" w:w="50"/>
              <w:right w:type="dxa" w:w="90"/>
            </w:tcMar>
          </w:tcPr>
          <w:p>
            <w:r>
              <w:rPr>
                <w:b w:val="false"/>
                <w:bCs w:val="false"/>
                <w:sz w:val="19"/>
                <w:szCs w:val="19"/>
              </w:rPr>
              <w:t xml:space="preserve">WP1 Synthesis + XAS descriptors</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WP2 Devices + switching statistics</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WP3 Correlation + operando + publication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WP4 Return phase: transfer + map integration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Europe on descriptor-based materials development for memristive oxides. The funded return phase reintegrates the methodology into the European research area (FZ Jülich/RWTH Aachen, JARA) and prepares the ERC Starting Grant/Emmy Noether bid; the MSCA fellowship itself strengthens the European profile of that bid. The choice of LSFO is deliberate: the series with the largest documented EV span and switching-proven end members becomes the first covalency-resolved composition series of the planned group programme.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A. M. Ritzmann, A. B. Muñoz-García, M. Pavone, J. A. Keith, E. A. Carter, Ab Initio DFT+U Analysis of Oxygen Vacancy Formation and Migration in La1-xSrxFeO3-δ (x = 0, 0.25, 0.50). Chemistry of Materials 25, 3011–3019 (2013).</w:t>
      </w:r>
    </w:p>
    <w:p>
      <w:pPr>
        <w:spacing w:after="120"/>
      </w:pPr>
      <w:r>
        <w:rPr>
          <w:sz w:val="18"/>
          <w:szCs w:val="18"/>
        </w:rPr>
        <w:t xml:space="preserve">[10] M. Abbate et al., Controlled-valence properties of La1-xSrxFeO3 and La1-xSrxMnO3 studied by soft-x-ray absorption spectroscopy. Physical Review B 46, 4511–4519 (1992).</w:t>
      </w:r>
    </w:p>
    <w:p>
      <w:pPr>
        <w:spacing w:after="120"/>
      </w:pPr>
      <w:r>
        <w:rPr>
          <w:sz w:val="18"/>
          <w:szCs w:val="18"/>
        </w:rPr>
        <w:t xml:space="preserve">[11]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[12] V. R. Nallagatla et al., Topotactic Phase Transition Driving Memristive Behavior (SrFeO2.5/SrFeO3). Advanced Materials 31, 1903391 (2019).</w:t>
      </w:r>
    </w:p>
    <w:p>
      <w:pPr>
        <w:spacing w:after="120"/>
      </w:pPr>
      <w:r>
        <w:rPr>
          <w:sz w:val="18"/>
          <w:szCs w:val="18"/>
        </w:rPr>
        <w:t xml:space="preserve">[13] J. Tian et al., Nanoscale Topotactic Phase Transformation in SrFeOx Epitaxial Thin Films for High-Density Resistive Switching Memory. Advanced Materials 31, 1903679 (2019).</w:t>
      </w:r>
    </w:p>
    <w:p>
      <w:pPr>
        <w:spacing w:after="120"/>
      </w:pPr>
      <w:r>
        <w:rPr>
          <w:sz w:val="18"/>
          <w:szCs w:val="18"/>
        </w:rPr>
        <w:t xml:space="preserve">[14] R. K. Aljurays, A. Loucif, A. M. Albadri, Synthesis of LaXO3 (X = Fe, Mn, Cr, Ni) Thin Films Using a Simple Spin Coating Set-Up for Resistive Switching Memory Devices. Electronics 12, 4141 (2023).</w:t>
      </w:r>
    </w:p>
    <w:p>
      <w:pPr>
        <w:spacing w:after="120"/>
      </w:pPr>
      <w:r>
        <w:rPr>
          <w:sz w:val="18"/>
          <w:szCs w:val="18"/>
        </w:rPr>
        <w:t xml:space="preserve">[15] P. Nizet et al., Analog control of La0.5Sr0.5FeO3-δ electrical properties through oxygen deficiency induced magnetic transition. Applied Physics Reviews 11, 041426 (2024).</w:t>
      </w:r>
    </w:p>
    <w:p>
      <w:pPr>
        <w:spacing w:after="120"/>
      </w:pPr>
      <w:r>
        <w:rPr>
          <w:sz w:val="18"/>
          <w:szCs w:val="18"/>
        </w:rPr>
        <w:t xml:space="preserve">[16] S. Asanuma, H. Akoh, H. Yamada, A. Sawa, Relationship between resistive switching characteristics and band diagrams of Ti/Pr1-xCaxMnO3 junctions. Physical Review B 80, 235113 (2009).</w:t>
      </w:r>
    </w:p>
    <w:p>
      <w:pPr>
        <w:spacing w:after="120"/>
      </w:pPr>
      <w:r>
        <w:rPr>
          <w:sz w:val="18"/>
          <w:szCs w:val="18"/>
        </w:rPr>
        <w:t xml:space="preserve">[17] V. Lähteenlahti, A. Schulman, A. Beiranvand, H. Huhtinen, P. Paturi, Electron Doping Effect in the Resistive Switching Properties of Al/Gd1-xCaxMnO3/Au Memristor Devices. ACS Applied Materials &amp; Interfaces 13, 18365–18371 (2021).</w:t>
      </w:r>
    </w:p>
    <w:p>
      <w:pPr>
        <w:spacing w:after="120"/>
      </w:pPr>
      <w:r>
        <w:rPr>
          <w:sz w:val="18"/>
          <w:szCs w:val="18"/>
        </w:rPr>
        <w:t xml:space="preserve">[18]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[19]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[20]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[21] M. Wuttig et al., Revisiting the Nature of Chemical Bonding in Chalcogenides to Explain and Design their Properties. Advanced Materials 35, 2208485 (2023).</w:t>
      </w:r>
    </w:p>
    <w:p>
      <w:pPr>
        <w:spacing w:after="120"/>
      </w:pPr>
      <w:r>
        <w:rPr>
          <w:sz w:val="18"/>
          <w:szCs w:val="18"/>
        </w:rPr>
        <w:t xml:space="preserve">[22] J. A. Santana, J. T. Krogel, P. R. C. Kent, F. A. Reboredo, Diffusion quantum Monte Carlo calculations of SrFeO3 and LaFeO3. The Journal of Chemical Physics 147, 034701 (2017).</w:t>
      </w:r>
    </w:p>
    <w:p>
      <w:pPr>
        <w:spacing w:after="120"/>
      </w:pPr>
      <w:r>
        <w:rPr>
          <w:sz w:val="18"/>
          <w:szCs w:val="18"/>
        </w:rPr>
        <w:t xml:space="preserve">[23] C. Song, H. Luo, J. Xu, Y. Song, Q. Hu, Density functional theory study on conduction mechanisms in LaFeO3 nanofibers for resistive random access memory. Ionics 32, 2427–2437 (2026).</w:t>
      </w:r>
    </w:p>
    <w:p>
      <w:pPr>
        <w:spacing w:after="120"/>
      </w:pPr>
      <w:r>
        <w:rPr>
          <w:sz w:val="18"/>
          <w:szCs w:val="18"/>
        </w:rPr>
        <w:t xml:space="preserve">[24] J. Zaanen, G. A. Sawatzky, J. W. Allen, Band gaps and electronic structure of transition-metal compounds. Physical Review Letters 55, 418–421 (1985).</w:t>
      </w:r>
    </w:p>
    <w:p>
      <w:pPr>
        <w:spacing w:after="120"/>
      </w:pPr>
      <w:r>
        <w:rPr>
          <w:sz w:val="18"/>
          <w:szCs w:val="18"/>
        </w:rPr>
        <w:t xml:space="preserve">[25] A. Fujimori, F. Minami, Valence-band photoemission and optical absorption in nickel compounds. Physical Review B 30, 957–971 (1984).</w:t>
      </w:r>
    </w:p>
    <w:p>
      <w:pPr>
        <w:spacing w:after="120"/>
      </w:pPr>
      <w:r>
        <w:rPr>
          <w:sz w:val="18"/>
          <w:szCs w:val="18"/>
        </w:rPr>
        <w:t xml:space="preserve">[26]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[27] T. Saitoh, A. E. Bocquet, T. Mizokawa, A. Fujimori, Systematic variation of the electronic structure of 3d transition-metal compounds. Physical Review B 52, 7934–7938 (1995).</w:t>
      </w:r>
    </w:p>
    <w:p>
      <w:pPr>
        <w:spacing w:after="120"/>
      </w:pPr>
      <w:r>
        <w:rPr>
          <w:sz w:val="18"/>
          <w:szCs w:val="18"/>
        </w:rPr>
        <w:t xml:space="preserve">[28] S. Nimkar, D. D. Sarma, H. R. Krishnamurthy, S. Ramasesha, Mean-field results of the multiple-band extended Hubbard model for the square-planar CuO2 lattice. Physical Review B 48, 7355–7363 (1993).</w:t>
      </w:r>
    </w:p>
    <w:p>
      <w:pPr>
        <w:spacing w:after="120"/>
      </w:pPr>
      <w:r>
        <w:rPr>
          <w:sz w:val="18"/>
          <w:szCs w:val="18"/>
        </w:rPr>
        <w:t xml:space="preserve">[29] F. M. F. de Groot, X-ray absorption and dichroism of transition metals and their compounds. Journal of Electron Spectroscopy and Related Phenomena 67, 529–622 (1994).</w:t>
      </w:r>
    </w:p>
    <w:p>
      <w:pPr>
        <w:spacing w:after="120"/>
      </w:pPr>
      <w:r>
        <w:rPr>
          <w:sz w:val="18"/>
          <w:szCs w:val="18"/>
        </w:rPr>
        <w:t xml:space="preserve">[30] A. E. Bocquet, A. Fujimori, T. Mizokawa, T. Saitoh, H. Namatame, S. Suga, N. Kimizuka, Y. Takeda, M. Takano, Electronic structure of SrFe4+O3 and related Fe perovskite oxides. Physical Review B 45, 1561–1570 (1992).</w:t>
      </w:r>
    </w:p>
    <w:p>
      <w:pPr>
        <w:spacing w:after="120"/>
      </w:pPr>
      <w:r>
        <w:rPr>
          <w:sz w:val="18"/>
          <w:szCs w:val="18"/>
        </w:rPr>
        <w:t xml:space="preserve">[31] D. Takegami et al., Negative charge-transfer energy in SrFeO3 revisited with hard x-ray photoemission spectroscopy. Physical Review B 109, 235138 (2024).</w:t>
      </w:r>
    </w:p>
    <w:p>
      <w:pPr>
        <w:spacing w:after="120"/>
      </w:pPr>
      <w:r>
        <w:rPr>
          <w:sz w:val="18"/>
          <w:szCs w:val="18"/>
        </w:rPr>
        <w:t xml:space="preserve">[32] H. Wadati et al., Hole-doping-induced changes in the electronic structure of La1-xSrxFeO3: soft x-ray photoemission and absorption study of epitaxial thin films. Physical Review B 71, 035108 (2005).</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European host institution acts as applicant – letter of commitment, supervision agreement (both hosts) and training plan required per MSCA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2026-08-10T20:20:19.592Z</dcterms:created>
  <dcterms:modified xsi:type="dcterms:W3CDTF">2026-08-10T20:20:19.592Z</dcterms:modified>
</cp:coreProperties>
</file>

<file path=docProps/custom.xml><?xml version="1.0" encoding="utf-8"?>
<Properties xmlns="http://schemas.openxmlformats.org/officeDocument/2006/custom-properties" xmlns:vt="http://schemas.openxmlformats.org/officeDocument/2006/docPropsVTypes"/>
</file>