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the La1-xSrxCoO3-δ Series with its Switching-Proven SrCoOx End Member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t>
      </w:r>
      <w:r>
        <w:t xml:space="preserve">with the O-K pre-edge usable as a series-internal hybridisation measure [12, 13]</w:t>
      </w:r>
      <w:r>
        <w:t xml:space="preserve">.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w:t>
      </w:r>
      <w:r>
        <w:t xml:space="preserve">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[25]. The choice of LSCO for this fellowship is deliberate: it is the one perovskite family whose covalency→EV link is already published in quantitative form [10, 11], so the fellowship data feed directly into the descriptor map of the subsequent group programme, and its cobaltite axis pairs naturally with the ferrite series (LSFO/SrFeOx) of the planned Emmy Noether/ERC programme.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An experimental covalency scale for memristive La1-xSrxCoO3-δ].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2026-08-09T17:57:15.386Z</dcterms:created>
  <dcterms:modified xsi:type="dcterms:W3CDTF">2026-08-09T17:57:15.388Z</dcterms:modified>
</cp:coreProperties>
</file>

<file path=docProps/custom.xml><?xml version="1.0" encoding="utf-8"?>
<Properties xmlns="http://schemas.openxmlformats.org/officeDocument/2006/custom-properties" xmlns:vt="http://schemas.openxmlformats.org/officeDocument/2006/docPropsVTypes"/>
</file>