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Marie Skłodowska-Curie Actions – Postdoctoral Fellowship (Global Fellowship)</w:t>
      </w:r>
    </w:p>
    <w:p>
      <w:pPr>
        <w:pStyle w:val="Title"/>
      </w:pPr>
      <w:r>
        <w:t xml:space="preserve">Covalency as an Experimental Descriptor of Memristive Switching: the La1-xSrxCoO3-δ Series with its SrCoOx Anchor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36 months (24 outgoing + 12 return)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Global Postdoctoral Fellowship: 24-month outgoing phase at Stanford University / SLAC (third country) + mandatory 12-month return phase at the European host [FZ Jülich or RWTH Aachen as applicant/beneficiary organisation]</w:t>
            </w:r>
          </w:p>
        </w:tc>
      </w:tr>
      <w:tr>
        <w:tc>
          <w:tcPr>
            <w:tcW w:type="dxa" w:w="2400"/>
            <w:shd w:fill="EEF1F5" w:val="clear"/>
            <w:tcMar>
              <w:top w:type="dxa" w:w="50"/>
              <w:left w:type="dxa" w:w="90"/>
              <w:bottom w:type="dxa" w:w="50"/>
              <w:right w:type="dxa" w:w="90"/>
            </w:tcMar>
          </w:tcPr>
          <w:p>
            <w:r>
              <w:rPr>
                <w:b/>
                <w:bCs/>
                <w:sz w:val="19"/>
                <w:szCs w:val="19"/>
              </w:rPr>
              <w:t xml:space="preserve">Funding</w:t>
            </w:r>
          </w:p>
        </w:tc>
        <w:tc>
          <w:tcPr>
            <w:tcW w:type="dxa" w:w="6672"/>
            <w:tcMar>
              <w:top w:type="dxa" w:w="50"/>
              <w:left w:type="dxa" w:w="90"/>
              <w:bottom w:type="dxa" w:w="50"/>
              <w:right w:type="dxa" w:w="90"/>
            </w:tcMar>
          </w:tcPr>
          <w:p>
            <w:r>
              <w:rPr>
                <w:b w:val="false"/>
                <w:bCs w:val="false"/>
                <w:sz w:val="19"/>
                <w:szCs w:val="19"/>
              </w:rPr>
              <w:t xml:space="preserve">Horizon Europe unit costs: living, mobility and (if applicable) family allowances, country-corrected [insert current rates]</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PhD ≤ 8 years at call deadline; MSCA mobility rule for the outgoing host country (max. 12 months in the USA within the 36 months before the deadline) [verify against personal record]</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single-stage call [insert current deadline, typically September], submitted by the European host institution</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Explicit training, supervision and two-way knowledge-transfer requirements; funded 12-month return phase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Energy research, by contrast, has quantitatively established that EV in perovskites is controlled by the metal–oxygen covalency [5–8]. My project connects these two worlds experimentally – using La1-xSrxCoO3-δ (LSCO), the cobaltite series with the most explicitly documented covalency→EV link of any perovskite family.</w:t>
      </w:r>
    </w:p>
    <w:p>
      <w:pPr>
        <w:spacing w:after="120"/>
      </w:pPr>
      <w:r>
        <w:t xml:space="preserve">LSCO satisfies all three evidence criteria of my descriptor programme. (i) Covalency vs. stoichiometry is measured: O-1s XAS across the series shows the O-2p hole states growing systematically with Sr content [9], with the O-K pre-edge usable as a series-internal hybridisation measure [12, 13]. (ii) EV vs. covalency is anchored twice over – experimentally through the classical oxygen-nonstoichiometry defect chemistry of Mizusaki et al. [10], and mechanistically through Mefford et al., who explicitly trace the vacancy formation energetics of LSCO to the Co–O covalency [11]. (iii) Switching at a noble-metal interface is demonstrated at the Sr-rich end: the “oxygen sponge” SrCoOx [14] switches topotactically in Au-active stacks – Au/SrCoO2.5/La0.7Sr0.3MnO3 [15], Au/SrCoO2.5/Nb:SrTiO3 [16] – with analog synaptic operation [17], strain control [18] and low-power operation [19] all published. The gap: for intermediate compositions 0 &lt; x &lt; 1 only reactive-electrode (Ag) devices exist [21] – no noble-interface composition series. Because the end member already switches under inert electrodes, this gap is an optimisation space, not a feasibility risk: the project both maps the covalency correlation and optimises the switching window via the Sr content, in direct analogy to the ferrite series of my group programme (LSFO with its switching-proven SrFeOx end member).</w:t>
      </w:r>
    </w:p>
    <w:p>
      <w:pPr>
        <w:spacing w:after="120"/>
      </w:pPr>
      <w:r>
        <w:t xml:space="preserve">Known design constraints are addressed openly: LSCO metallises percolatively around x ≈ 0.18, Co spin-state degrees of freedom add a second electronic variable, and the Sr-rich end approaches brownmillerite vacancy ordering [14, 20]. The series therefore concentrates on x = 0–0.5 with dense sampling around the insulator–metal boundary and treats the topotactic end member as a charted mechanism boundary – the same honest framing that the ferrite series uses. My central hypothesis: the usable switching window of noble-contacted LSCO devices scales with the XAS-measured covalency and is maximal at intermediate x (“Goldilocks zone”).</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[26] and as extracted compound by compound by the configuration-interaction analyses of Fujimori, Bocquet, Saitoh, Sarma and co-workers [27–30]. O-K pre-edge intensities serve as a relative, series-internal hybridisation measure only; their limits as an absolute covalency scale (core-hole effects, ligand-hole distribution, band effects) are treated explicitly [31], and the conflation of hybridisation with covalency that is common in the catalysis-descriptor literature is deliberately avoided – the descriptor scale of this project is calibrated against cluster-model analysis, not against pre-edge intensity alone. System-specific parameter status (re-screening, 09.08.2026): the cluster-model basis of this series is the strongest of the portfolio – two independent CI analyses cover the full composition range ([9] and [32]), with the end members anchored by dedicated cluster analyses (LaCoO3 [33]; intermediate-spin Co4+ with dominant d6L character in SrCoO3 [34]); Δ/U are fitted at the end members, a per-composition Δ(x) remains to be established.</w:t>
      </w:r>
    </w:p>
    <w:p>
      <w:pPr>
        <w:pStyle w:val="Heading1"/>
        <w:spacing w:after="120" w:before="240"/>
      </w:pPr>
      <w:r>
        <w:t xml:space="preserve">2  Programme fit and strategy</w:t>
      </w:r>
    </w:p>
    <w:p>
      <w:pPr>
        <w:spacing w:after="120"/>
      </w:pPr>
      <w:r>
        <w:t xml:space="preserve">The MSCA Global Fellowship funds the project as a 24-month outgoing phase at Stanford plus a mandatory, funded 12-month return phase at the European host. The return phase institutionalises exactly what the planned group programme needs: transfer of the SSRL-proven XAS protocols to European beamlines, integration of the descriptor dataset into the map, and preparation of the ERC/Emmy Noether bid. MSCA-specific proposal sections (training objectives, supervision arrangement between Prof. Chueh and the German host, dissemination and exploitation plan, two-way transfer of knowledge) must be completed per the current template.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[22–24]. The group’s seminal work on the redox activity of oxygen anions in oxygen-deficient perovskites [23] is a direct methodological blueprint for my project; the Nature Materials study on atomically defined LaNiO3 surfaces [24]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(months 1–10, Stanford)</w:t>
      </w:r>
    </w:p>
    <w:p>
      <w:pPr>
        <w:spacing w:after="120"/>
      </w:pPr>
      <w:r>
        <w:t xml:space="preserve">PLD growth of epitaxial La1-xSrxCoO3-δ films (x = 0; 0.1; 0.2; 0.3; 0.4; 0.5, dense sampling across the percolative metallisation) plus the SrCoO2.5 anchor composition on Nb:SrTiO3 and La0.7Sr0.3MnO3-buffered SrTiO3 in the Stanford/SLAC thin-film laboratories; structural validation (XRD, AFM); cation and oxygen stoichiometry (XPS, RBS where required). In parallel, first XAS campaign at SSRL: O-K pre-edge quantification following [12] and Co-L2,3 valence analysis for every composition → experimental covalency scale, benchmarked against the published series spectroscopy [9] and defect chemistry [10]. Milestone M1 (month 10): validated sample series with complete descriptor set.</w:t>
      </w:r>
    </w:p>
    <w:p>
      <w:pPr>
        <w:spacing w:after="120"/>
      </w:pPr>
      <w:r>
        <w:rPr>
          <w:b/>
          <w:bCs/>
        </w:rPr>
        <w:t xml:space="preserve">WP2 – Devices and switching characterisation (months 8–18, Stanford)</w:t>
      </w:r>
    </w:p>
    <w:p>
      <w:pPr>
        <w:spacing w:after="120"/>
      </w:pPr>
      <w:r>
        <w:t xml:space="preserve">Two device flavours per composition, processed photolithographically with ≥ 30 nominally identical cells each: (i) Au-active pads replicating the proven end-member geometry [15, 16] across the whole series, and (ii) Pt pads as the second inert flavour. Quasistatic and pulsed characterisation under the statistics protocol established in my doctorate (ON/OFF at defined read-out voltage, forming requirement, kinetics, temperature-accelerated retention, endurance). The SrCoOx anchor cells reproduce the published benchmark and de-risk the processing. Milestone M2 (month 18): switching figures of merit as a function of x with robust statistics.</w:t>
      </w:r>
    </w:p>
    <w:p>
      <w:pPr>
        <w:spacing w:after="120"/>
      </w:pPr>
      <w:r>
        <w:rPr>
          <w:b/>
          <w:bCs/>
        </w:rPr>
        <w:t xml:space="preserve">WP3 – Correlation, operando validation and publication (months 16–24, Stanford)</w:t>
      </w:r>
    </w:p>
    <w:p>
      <w:pPr>
        <w:spacing w:after="120"/>
      </w:pPr>
      <w:r>
        <w:t xml:space="preserve">Correlation analysis covalency (XAS) ↔ EV (defect chemistry [10], descriptor models [5–8, 11]) ↔ switching metrics; test of the optimum hypothesis. Second SSRL campaign: XAS on switched cells (ex-situ before/after switching, operando if successful) to verify that composition-dependent differences rest on different VO dynamics. Publication of the first covalency-resolved cobaltite memristor study; dataset released following FAIR principles. Milestone M3 (month 24): submitted publication(s), public dataset.</w:t>
      </w:r>
    </w:p>
    <w:p>
      <w:pPr>
        <w:spacing w:after="120"/>
      </w:pPr>
      <w:r>
        <w:rPr>
          <w:b/>
          <w:bCs/>
        </w:rPr>
        <w:t xml:space="preserve">WP4 – Return phase: European transfer and map integration (months 25–36, [RWTH Aachen / FZ Jülich])</w:t>
      </w:r>
    </w:p>
    <w:p>
      <w:pPr>
        <w:spacing w:after="120"/>
      </w:pPr>
      <w:r>
        <w:t xml:space="preserve">European beamline campaigns (BESSY II/PETRA III) transferring the SSRL-proven XAS protocols; cross-class integration of the descriptor dataset into the map; publication of the extended dataset; preparation and submission of the junior-group proposal (Emmy Noether/ERC); supervision and training plan per MSCA rules spanning both phases. Milestone M4 (month 36): map integration complete, group proposal submitted.</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12"/>
        <w:gridCol w:w="555"/>
        <w:gridCol w:w="555"/>
        <w:gridCol w:w="555"/>
        <w:gridCol w:w="555"/>
        <w:gridCol w:w="555"/>
        <w:gridCol w:w="555"/>
        <w:gridCol w:w="555"/>
        <w:gridCol w:w="555"/>
        <w:gridCol w:w="555"/>
        <w:gridCol w:w="555"/>
        <w:gridCol w:w="555"/>
        <w:gridCol w:w="555"/>
      </w:tblGrid>
      <w:tr>
        <w:tc>
          <w:tcPr>
            <w:tcW w:type="dxa" w:w="2412"/>
            <w:shd w:fill="EEF1F5" w:val="clear"/>
            <w:tcMar>
              <w:top w:type="dxa" w:w="50"/>
              <w:left w:type="dxa" w:w="90"/>
              <w:bottom w:type="dxa" w:w="50"/>
              <w:right w:type="dxa" w:w="90"/>
            </w:tcMar>
          </w:tcPr>
          <w:p>
            <w:r>
              <w:rPr>
                <w:b/>
                <w:bCs/>
                <w:sz w:val="19"/>
                <w:szCs w:val="19"/>
              </w:rPr>
              <w:t xml:space="preserve">Work package</w:t>
            </w:r>
          </w:p>
        </w:tc>
        <w:tc>
          <w:tcPr>
            <w:tcW w:type="dxa" w:w="555"/>
            <w:shd w:fill="EEF1F5" w:val="clear"/>
            <w:tcMar>
              <w:top w:type="dxa" w:w="50"/>
              <w:left w:type="dxa" w:w="90"/>
              <w:bottom w:type="dxa" w:w="50"/>
              <w:right w:type="dxa" w:w="90"/>
            </w:tcMar>
          </w:tcPr>
          <w:p>
            <w:r>
              <w:rPr>
                <w:b/>
                <w:bCs/>
                <w:sz w:val="19"/>
                <w:szCs w:val="19"/>
              </w:rPr>
              <w:t xml:space="preserve">Q1</w:t>
            </w:r>
          </w:p>
        </w:tc>
        <w:tc>
          <w:tcPr>
            <w:tcW w:type="dxa" w:w="555"/>
            <w:shd w:fill="EEF1F5" w:val="clear"/>
            <w:tcMar>
              <w:top w:type="dxa" w:w="50"/>
              <w:left w:type="dxa" w:w="90"/>
              <w:bottom w:type="dxa" w:w="50"/>
              <w:right w:type="dxa" w:w="90"/>
            </w:tcMar>
          </w:tcPr>
          <w:p>
            <w:r>
              <w:rPr>
                <w:b/>
                <w:bCs/>
                <w:sz w:val="19"/>
                <w:szCs w:val="19"/>
              </w:rPr>
              <w:t xml:space="preserve">Q2</w:t>
            </w:r>
          </w:p>
        </w:tc>
        <w:tc>
          <w:tcPr>
            <w:tcW w:type="dxa" w:w="555"/>
            <w:shd w:fill="EEF1F5" w:val="clear"/>
            <w:tcMar>
              <w:top w:type="dxa" w:w="50"/>
              <w:left w:type="dxa" w:w="90"/>
              <w:bottom w:type="dxa" w:w="50"/>
              <w:right w:type="dxa" w:w="90"/>
            </w:tcMar>
          </w:tcPr>
          <w:p>
            <w:r>
              <w:rPr>
                <w:b/>
                <w:bCs/>
                <w:sz w:val="19"/>
                <w:szCs w:val="19"/>
              </w:rPr>
              <w:t xml:space="preserve">Q3</w:t>
            </w:r>
          </w:p>
        </w:tc>
        <w:tc>
          <w:tcPr>
            <w:tcW w:type="dxa" w:w="555"/>
            <w:shd w:fill="EEF1F5" w:val="clear"/>
            <w:tcMar>
              <w:top w:type="dxa" w:w="50"/>
              <w:left w:type="dxa" w:w="90"/>
              <w:bottom w:type="dxa" w:w="50"/>
              <w:right w:type="dxa" w:w="90"/>
            </w:tcMar>
          </w:tcPr>
          <w:p>
            <w:r>
              <w:rPr>
                <w:b/>
                <w:bCs/>
                <w:sz w:val="19"/>
                <w:szCs w:val="19"/>
              </w:rPr>
              <w:t xml:space="preserve">Q4</w:t>
            </w:r>
          </w:p>
        </w:tc>
        <w:tc>
          <w:tcPr>
            <w:tcW w:type="dxa" w:w="555"/>
            <w:shd w:fill="EEF1F5" w:val="clear"/>
            <w:tcMar>
              <w:top w:type="dxa" w:w="50"/>
              <w:left w:type="dxa" w:w="90"/>
              <w:bottom w:type="dxa" w:w="50"/>
              <w:right w:type="dxa" w:w="90"/>
            </w:tcMar>
          </w:tcPr>
          <w:p>
            <w:r>
              <w:rPr>
                <w:b/>
                <w:bCs/>
                <w:sz w:val="19"/>
                <w:szCs w:val="19"/>
              </w:rPr>
              <w:t xml:space="preserve">Q5</w:t>
            </w:r>
          </w:p>
        </w:tc>
        <w:tc>
          <w:tcPr>
            <w:tcW w:type="dxa" w:w="555"/>
            <w:shd w:fill="EEF1F5" w:val="clear"/>
            <w:tcMar>
              <w:top w:type="dxa" w:w="50"/>
              <w:left w:type="dxa" w:w="90"/>
              <w:bottom w:type="dxa" w:w="50"/>
              <w:right w:type="dxa" w:w="90"/>
            </w:tcMar>
          </w:tcPr>
          <w:p>
            <w:r>
              <w:rPr>
                <w:b/>
                <w:bCs/>
                <w:sz w:val="19"/>
                <w:szCs w:val="19"/>
              </w:rPr>
              <w:t xml:space="preserve">Q6</w:t>
            </w:r>
          </w:p>
        </w:tc>
        <w:tc>
          <w:tcPr>
            <w:tcW w:type="dxa" w:w="555"/>
            <w:shd w:fill="EEF1F5" w:val="clear"/>
            <w:tcMar>
              <w:top w:type="dxa" w:w="50"/>
              <w:left w:type="dxa" w:w="90"/>
              <w:bottom w:type="dxa" w:w="50"/>
              <w:right w:type="dxa" w:w="90"/>
            </w:tcMar>
          </w:tcPr>
          <w:p>
            <w:r>
              <w:rPr>
                <w:b/>
                <w:bCs/>
                <w:sz w:val="19"/>
                <w:szCs w:val="19"/>
              </w:rPr>
              <w:t xml:space="preserve">Q7</w:t>
            </w:r>
          </w:p>
        </w:tc>
        <w:tc>
          <w:tcPr>
            <w:tcW w:type="dxa" w:w="555"/>
            <w:shd w:fill="EEF1F5" w:val="clear"/>
            <w:tcMar>
              <w:top w:type="dxa" w:w="50"/>
              <w:left w:type="dxa" w:w="90"/>
              <w:bottom w:type="dxa" w:w="50"/>
              <w:right w:type="dxa" w:w="90"/>
            </w:tcMar>
          </w:tcPr>
          <w:p>
            <w:r>
              <w:rPr>
                <w:b/>
                <w:bCs/>
                <w:sz w:val="19"/>
                <w:szCs w:val="19"/>
              </w:rPr>
              <w:t xml:space="preserve">Q8</w:t>
            </w:r>
          </w:p>
        </w:tc>
        <w:tc>
          <w:tcPr>
            <w:tcW w:type="dxa" w:w="555"/>
            <w:shd w:fill="EEF1F5" w:val="clear"/>
            <w:tcMar>
              <w:top w:type="dxa" w:w="50"/>
              <w:left w:type="dxa" w:w="90"/>
              <w:bottom w:type="dxa" w:w="50"/>
              <w:right w:type="dxa" w:w="90"/>
            </w:tcMar>
          </w:tcPr>
          <w:p>
            <w:r>
              <w:rPr>
                <w:b/>
                <w:bCs/>
                <w:sz w:val="19"/>
                <w:szCs w:val="19"/>
              </w:rPr>
              <w:t xml:space="preserve">Q9</w:t>
            </w:r>
          </w:p>
        </w:tc>
        <w:tc>
          <w:tcPr>
            <w:tcW w:type="dxa" w:w="555"/>
            <w:shd w:fill="EEF1F5" w:val="clear"/>
            <w:tcMar>
              <w:top w:type="dxa" w:w="50"/>
              <w:left w:type="dxa" w:w="90"/>
              <w:bottom w:type="dxa" w:w="50"/>
              <w:right w:type="dxa" w:w="90"/>
            </w:tcMar>
          </w:tcPr>
          <w:p>
            <w:r>
              <w:rPr>
                <w:b/>
                <w:bCs/>
                <w:sz w:val="19"/>
                <w:szCs w:val="19"/>
              </w:rPr>
              <w:t xml:space="preserve">Q10</w:t>
            </w:r>
          </w:p>
        </w:tc>
        <w:tc>
          <w:tcPr>
            <w:tcW w:type="dxa" w:w="555"/>
            <w:shd w:fill="EEF1F5" w:val="clear"/>
            <w:tcMar>
              <w:top w:type="dxa" w:w="50"/>
              <w:left w:type="dxa" w:w="90"/>
              <w:bottom w:type="dxa" w:w="50"/>
              <w:right w:type="dxa" w:w="90"/>
            </w:tcMar>
          </w:tcPr>
          <w:p>
            <w:r>
              <w:rPr>
                <w:b/>
                <w:bCs/>
                <w:sz w:val="19"/>
                <w:szCs w:val="19"/>
              </w:rPr>
              <w:t xml:space="preserve">Q11</w:t>
            </w:r>
          </w:p>
        </w:tc>
        <w:tc>
          <w:tcPr>
            <w:tcW w:type="dxa" w:w="555"/>
            <w:shd w:fill="EEF1F5" w:val="clear"/>
            <w:tcMar>
              <w:top w:type="dxa" w:w="50"/>
              <w:left w:type="dxa" w:w="90"/>
              <w:bottom w:type="dxa" w:w="50"/>
              <w:right w:type="dxa" w:w="90"/>
            </w:tcMar>
          </w:tcPr>
          <w:p>
            <w:r>
              <w:rPr>
                <w:b/>
                <w:bCs/>
                <w:sz w:val="19"/>
                <w:szCs w:val="19"/>
              </w:rPr>
              <w:t xml:space="preserve">Q12</w:t>
            </w:r>
          </w:p>
        </w:tc>
      </w:tr>
      <w:tr>
        <w:tc>
          <w:tcPr>
            <w:tcW w:type="dxa" w:w="2412"/>
            <w:tcMar>
              <w:top w:type="dxa" w:w="50"/>
              <w:left w:type="dxa" w:w="90"/>
              <w:bottom w:type="dxa" w:w="50"/>
              <w:right w:type="dxa" w:w="90"/>
            </w:tcMar>
          </w:tcPr>
          <w:p>
            <w:r>
              <w:rPr>
                <w:b w:val="false"/>
                <w:bCs w:val="false"/>
                <w:sz w:val="19"/>
                <w:szCs w:val="19"/>
              </w:rPr>
              <w:t xml:space="preserve">WP1 Synthesis + XAS descriptors</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WP2 Devices + switching statistics</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WP3 Correlation + operando + publication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WP4 Return phase: transfer + map integration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Europe on descriptor-based materials development for memristive oxides. The funded return phase reintegrates the methodology into the European research area (FZ Jülich/RWTH Aachen, JARA) and prepares the ERC Starting Grant/Emmy Noether bid; the MSCA fellowship itself strengthens the European profile of that bid. The choice of LSCO is deliberate: it is the one perovskite family whose covalency→EV link is already published in quantitative form, and its cobaltite axis pairs naturally with the ferrite series of the planned group programme.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T. Saitoh et al., Electronic structure of La1-xSrxCoO3 studied by photoemission and x-ray-absorption spectroscopy. Physical Review B 56, 1290 (1997). [verify page range before submission]</w:t>
      </w:r>
    </w:p>
    <w:p>
      <w:pPr>
        <w:spacing w:after="120"/>
      </w:pPr>
      <w:r>
        <w:rPr>
          <w:sz w:val="18"/>
          <w:szCs w:val="18"/>
        </w:rPr>
        <w:t xml:space="preserve">[10] J. Mizusaki, Y. Mima, S. Yamauchi, K. Fueki, H. Tagawa, Nonstoichiometry of the perovskite-type oxides La1-xSrxCoO3-δ. Journal of Solid State Chemistry 80, 102–111 (1989).</w:t>
      </w:r>
    </w:p>
    <w:p>
      <w:pPr>
        <w:spacing w:after="120"/>
      </w:pPr>
      <w:r>
        <w:rPr>
          <w:sz w:val="18"/>
          <w:szCs w:val="18"/>
        </w:rPr>
        <w:t xml:space="preserve">[11] J. T. Mefford et al., Water electrolysis on La1-xSrxCoO3-δ perovskite electrocatalysts. Nature Communications 7, 11053 (2016).</w:t>
      </w:r>
    </w:p>
    <w:p>
      <w:pPr>
        <w:spacing w:after="120"/>
      </w:pPr>
      <w:r>
        <w:rPr>
          <w:sz w:val="18"/>
          <w:szCs w:val="18"/>
        </w:rPr>
        <w:t xml:space="preserve">[12]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[13] F. Frati, M. O. J. Y. Hunault, F. M. F. de Groot, Oxygen K-edge X-ray Absorption Spectra. Chemical Reviews 120, 4056–4110 (2020).</w:t>
      </w:r>
    </w:p>
    <w:p>
      <w:pPr>
        <w:spacing w:after="120"/>
      </w:pPr>
      <w:r>
        <w:rPr>
          <w:sz w:val="18"/>
          <w:szCs w:val="18"/>
        </w:rPr>
        <w:t xml:space="preserve">[14] H. Jeen et al., Reversible redox reactions in an epitaxially stabilized SrCoOx oxygen sponge. Nature Materials 12, 1057–1063 (2013).</w:t>
      </w:r>
    </w:p>
    <w:p>
      <w:pPr>
        <w:spacing w:after="120"/>
      </w:pPr>
      <w:r>
        <w:rPr>
          <w:sz w:val="18"/>
          <w:szCs w:val="18"/>
        </w:rPr>
        <w:t xml:space="preserve">[15] S. K. Acharya et al., Epitaxial Brownmillerite Oxide Thin Films for Reliable Switching Memory. ACS Applied Materials &amp; Interfaces 8, 7902–7911 (2016).</w:t>
      </w:r>
    </w:p>
    <w:p>
      <w:pPr>
        <w:spacing w:after="120"/>
      </w:pPr>
      <w:r>
        <w:rPr>
          <w:sz w:val="18"/>
          <w:szCs w:val="18"/>
        </w:rPr>
        <w:t xml:space="preserve">[16] V. R. Nallagatla et al., Topotactic Phase Transition Driving Memristive Behavior (SrFeO2.5/SrCoO2.5 devices). Advanced Materials 31, 1903391 (2019).</w:t>
      </w:r>
    </w:p>
    <w:p>
      <w:pPr>
        <w:spacing w:after="120"/>
      </w:pPr>
      <w:r>
        <w:rPr>
          <w:sz w:val="18"/>
          <w:szCs w:val="18"/>
        </w:rPr>
        <w:t xml:space="preserve">[17] X. Mou et al., Analog memristive synapse based on topotactic phase transition for high-performance neuromorphic computing and neural network pruning. Science Advances 7, eabh0648 (2021).</w:t>
      </w:r>
    </w:p>
    <w:p>
      <w:pPr>
        <w:spacing w:after="120"/>
      </w:pPr>
      <w:r>
        <w:rPr>
          <w:sz w:val="18"/>
          <w:szCs w:val="18"/>
        </w:rPr>
        <w:t xml:space="preserve">[18] X. Xiang et al., Manipulating the Resistive Switching in Epitaxial SrCoO2.5 Thin-Film-Based Memristors by Strain Engineering. ACS Applied Electronic Materials 4, 2729–2738 (2022).</w:t>
      </w:r>
    </w:p>
    <w:p>
      <w:pPr>
        <w:spacing w:after="120"/>
      </w:pPr>
      <w:r>
        <w:rPr>
          <w:sz w:val="18"/>
          <w:szCs w:val="18"/>
        </w:rPr>
        <w:t xml:space="preserve">[19] H.-Y. Lo et al., Observing topotactic phase transformation and resistive switching behaviors in low power SrCoOx memristor. Nano Energy 72, 104683 (2020).</w:t>
      </w:r>
    </w:p>
    <w:p>
      <w:pPr>
        <w:spacing w:after="120"/>
      </w:pPr>
      <w:r>
        <w:rPr>
          <w:sz w:val="18"/>
          <w:szCs w:val="18"/>
        </w:rPr>
        <w:t xml:space="preserve">[20] M. Kubicek et al., Tensile Lattice Strain Accelerates Oxygen Surface Exchange and Diffusion in La1-xSrxCoO3-δ Thin Films. ACS Nano 7, 3276–3286 (2013).</w:t>
      </w:r>
    </w:p>
    <w:p>
      <w:pPr>
        <w:spacing w:after="120"/>
      </w:pPr>
      <w:r>
        <w:rPr>
          <w:sz w:val="18"/>
          <w:szCs w:val="18"/>
        </w:rPr>
        <w:t xml:space="preserve">[21] Ag/La0.5Sr0.5CoO3-δ/Pt resistive switching. Applied Physics Letters 104, 223505 (2014). [reactive-electrode prior art; complete author list and title before submission]</w:t>
      </w:r>
    </w:p>
    <w:p>
      <w:pPr>
        <w:spacing w:after="120"/>
      </w:pPr>
      <w:r>
        <w:rPr>
          <w:sz w:val="18"/>
          <w:szCs w:val="18"/>
        </w:rPr>
        <w:t xml:space="preserve">[22]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[23]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[24]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[25] M. Wuttig et al., Revisiting the Nature of Chemical Bonding in Chalcogenides to Explain and Design their Properties. Advanced Materials 35, 2208485 (2023).</w:t>
      </w:r>
    </w:p>
    <w:p>
      <w:pPr>
        <w:spacing w:after="120"/>
      </w:pPr>
      <w:r>
        <w:rPr>
          <w:sz w:val="18"/>
          <w:szCs w:val="18"/>
        </w:rPr>
        <w:t xml:space="preserve">[26] J. Zaanen, G. A. Sawatzky, J. W. Allen, Band gaps and electronic structure of transition-metal compounds. Physical Review Letters 55, 418–421 (1985).</w:t>
      </w:r>
    </w:p>
    <w:p>
      <w:pPr>
        <w:spacing w:after="120"/>
      </w:pPr>
      <w:r>
        <w:rPr>
          <w:sz w:val="18"/>
          <w:szCs w:val="18"/>
        </w:rPr>
        <w:t xml:space="preserve">[27] A. Fujimori, F. Minami, Valence-band photoemission and optical absorption in nickel compounds. Physical Review B 30, 957–971 (1984).</w:t>
      </w:r>
    </w:p>
    <w:p>
      <w:pPr>
        <w:spacing w:after="120"/>
      </w:pPr>
      <w:r>
        <w:rPr>
          <w:sz w:val="18"/>
          <w:szCs w:val="18"/>
        </w:rPr>
        <w:t xml:space="preserve">[28]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[29] T. Saitoh, A. E. Bocquet, T. Mizokawa, A. Fujimori, Systematic variation of the electronic structure of 3d transition-metal compounds. Physical Review B 52, 7934–7938 (1995).</w:t>
      </w:r>
    </w:p>
    <w:p>
      <w:pPr>
        <w:spacing w:after="120"/>
      </w:pPr>
      <w:r>
        <w:rPr>
          <w:sz w:val="18"/>
          <w:szCs w:val="18"/>
        </w:rPr>
        <w:t xml:space="preserve">[30] S. Nimkar, D. D. Sarma, H. R. Krishnamurthy, S. Ramasesha, Mean-field results of the multiple-band extended Hubbard model for the square-planar CuO2 lattice. Physical Review B 48, 7355–7363 (1993).</w:t>
      </w:r>
    </w:p>
    <w:p>
      <w:pPr>
        <w:spacing w:after="120"/>
      </w:pPr>
      <w:r>
        <w:rPr>
          <w:sz w:val="18"/>
          <w:szCs w:val="18"/>
        </w:rPr>
        <w:t xml:space="preserve">[31] F. M. F. de Groot, X-ray absorption and dichroism of transition metals and their compounds. Journal of Electron Spectroscopy and Related Phenomena 67, 529–622 (1994).</w:t>
      </w:r>
    </w:p>
    <w:p>
      <w:pPr>
        <w:spacing w:after="120"/>
      </w:pPr>
      <w:r>
        <w:rPr>
          <w:sz w:val="18"/>
          <w:szCs w:val="18"/>
        </w:rPr>
        <w:t xml:space="preserve">[32] A. Chainani, M. Mathew, D. D. Sarma, Electron-spectroscopy study of the semiconductor-metal transition in La1-xSrxCoO3. Physical Review B 46, 9976–9983 (1992).</w:t>
      </w:r>
    </w:p>
    <w:p>
      <w:pPr>
        <w:spacing w:after="120"/>
      </w:pPr>
      <w:r>
        <w:rPr>
          <w:sz w:val="18"/>
          <w:szCs w:val="18"/>
        </w:rPr>
        <w:t xml:space="preserve">[33] T. Saitoh, T. Mizokawa, A. Fujimori, M. Abbate, Y. Takeda, M. Takano, Electronic structure and temperature-induced paramagnetism in LaCoO3. Physical Review B 55, 4257–4266 (1997).</w:t>
      </w:r>
    </w:p>
    <w:p>
      <w:pPr>
        <w:spacing w:after="120"/>
      </w:pPr>
      <w:r>
        <w:rPr>
          <w:sz w:val="18"/>
          <w:szCs w:val="18"/>
        </w:rPr>
        <w:t xml:space="preserve">[34] R. H. Potze, G. A. Sawatzky, M. Abbate, Possibility for an intermediate-spin ground state in the charge-transfer material SrCoO3. Physical Review B 51, 11501–11506 (1995).</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European host institution acts as applicant – letter of commitment, supervision agreement (both hosts) and training plan required per MSCA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2026-08-10T20:20:19.606Z</dcterms:created>
  <dcterms:modified xsi:type="dcterms:W3CDTF">2026-08-10T20:20:19.606Z</dcterms:modified>
</cp:coreProperties>
</file>

<file path=docProps/custom.xml><?xml version="1.0" encoding="utf-8"?>
<Properties xmlns="http://schemas.openxmlformats.org/officeDocument/2006/custom-properties" xmlns:vt="http://schemas.openxmlformats.org/officeDocument/2006/docPropsVTypes"/>
</file>