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CuO2-plane parameter set (Δ, Udd, tpd) is cross-validated by several independent CI analyses [28, 29]; a δ-resolved, chain/plane-separated extraction for YBCO is thin and methodologically contested – non-local screening distorts single-impurity fits [30] – which is precisely the refinement this project’s site-resolved XAS series enables.</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8): validated δ-series with complete site-resolved descriptor set.</w:t>
      </w:r>
    </w:p>
    <w:p>
      <w:pPr>
        <w:spacing w:after="120"/>
      </w:pPr>
      <w:r>
        <w:rPr>
          <w:b/>
          <w:bCs/>
        </w:rPr>
        <w:t xml:space="preserve">WP2 – Devices and switching characterisation (months 6–12, Stanford)</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12): switching figures of merit as a function of δ, in epitaxial cells, with robust statistics – the first non-ceramic Au/YBCO device series.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[28] H. Eskes, G. A. Sawatzky, Tendency towards local spin compensation of holes in the high-Tc copper compounds. Physical Review Letters 61, 1415–1418 (1988).</w:t>
      </w:r>
    </w:p>
    <w:p>
      <w:pPr>
        <w:spacing w:after="120"/>
      </w:pPr>
      <w:r>
        <w:rPr>
          <w:sz w:val="18"/>
          <w:szCs w:val="18"/>
        </w:rPr>
        <w:t xml:space="preserve">[29] Z.-X. Shen, J. W. Allen et al., Anderson Hamiltonian description of the experimental electronic structure and magnetic interactions of copper oxide superconductors. Physical Review B 36, 8414 (1987).</w:t>
      </w:r>
    </w:p>
    <w:p>
      <w:pPr>
        <w:spacing w:after="120"/>
      </w:pPr>
      <w:r>
        <w:rPr>
          <w:sz w:val="18"/>
          <w:szCs w:val="18"/>
        </w:rPr>
        <w:t xml:space="preserve">[30] M. A. van Veenendaal, G. A. Sawatzky et al., Physical Review B 49, 3473 (1994). [nonlocal screening in Cu 2p spectra; complete citation before submission]</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2026-08-10T20:20:19.342Z</dcterms:created>
  <dcterms:modified xsi:type="dcterms:W3CDTF">2026-08-10T20:20:19.342Z</dcterms:modified>
</cp:coreProperties>
</file>

<file path=docProps/custom.xml><?xml version="1.0" encoding="utf-8"?>
<Properties xmlns="http://schemas.openxmlformats.org/officeDocument/2006/custom-properties" xmlns:vt="http://schemas.openxmlformats.org/officeDocument/2006/docPropsVTypes"/>
</file>