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Alexander von Humboldt Foundation – Feodor Lynen Research Fellowship for Postdoctoral Researchers</w:t>
      </w:r>
    </w:p>
    <w:p>
      <w:pPr>
        <w:pStyle w:val="Title"/>
      </w:pPr>
      <w:r>
        <w:t xml:space="preserve">Application for a Feodor Lynen Research Fellowship</w:t>
      </w:r>
    </w:p>
    <w:p>
      <w:pPr>
        <w:spacing w:after="120"/>
      </w:pPr>
      <w:r>
        <w:rPr>
          <w:b/>
          <w:bCs/>
          <w:sz w:val="24"/>
          <w:szCs w:val="24"/>
        </w:rPr>
        <w:t xml:space="preserve">Covalency as an Experimental Descriptor of Memristive Switching beyond the Perovskites: the YBa2Cu3O7-δ Chain-Oxygen Series under Noble Au Electrodes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7072"/>
      </w:tblGrid>
      <w:tr>
        <w:tc>
          <w:tcPr>
            <w:tcW w:type="dxa" w:w="2000"/>
            <w:tcMar>
              <w:top w:type="dxa" w:w="50"/>
              <w:left w:type="dxa" w:w="90"/>
              <w:bottom w:type="dxa" w:w="50"/>
              <w:right w:type="dxa" w:w="90"/>
            </w:tcMar>
          </w:tcPr>
          <w:p>
            <w:r>
              <w:rPr>
                <w:b w:val="false"/>
                <w:bCs w:val="false"/>
                <w:sz w:val="19"/>
                <w:szCs w:val="19"/>
              </w:rPr>
              <w:t xml:space="preserve">Applicant</w:t>
            </w:r>
          </w:p>
        </w:tc>
        <w:tc>
          <w:tcPr>
            <w:tcW w:type="dxa" w:w="7072"/>
            <w:tcMar>
              <w:top w:type="dxa" w:w="50"/>
              <w:left w:type="dxa" w:w="90"/>
              <w:bottom w:type="dxa" w:w="50"/>
              <w:right w:type="dxa" w:w="90"/>
            </w:tcMar>
          </w:tcPr>
          <w:p>
            <w:r>
              <w:rPr>
                <w:b w:val="false"/>
                <w:bCs w:val="false"/>
                <w:sz w:val="19"/>
                <w:szCs w:val="19"/>
              </w:rPr>
              <w:t xml:space="preserve">Dr. Max Buczek, Postdoctoral Researcher, Peter Grünberg Institute (PGI-7), Forschungszentrum Jülich, Germany</w:t>
            </w:r>
          </w:p>
        </w:tc>
      </w:tr>
      <w:tr>
        <w:tc>
          <w:tcPr>
            <w:tcW w:type="dxa" w:w="2000"/>
            <w:tcMar>
              <w:top w:type="dxa" w:w="50"/>
              <w:left w:type="dxa" w:w="90"/>
              <w:bottom w:type="dxa" w:w="50"/>
              <w:right w:type="dxa" w:w="90"/>
            </w:tcMar>
          </w:tcPr>
          <w:p>
            <w:r>
              <w:rPr>
                <w:b w:val="false"/>
                <w:bCs w:val="false"/>
                <w:sz w:val="19"/>
                <w:szCs w:val="19"/>
              </w:rPr>
              <w:t xml:space="preserve">Host</w:t>
            </w:r>
          </w:p>
        </w:tc>
        <w:tc>
          <w:tcPr>
            <w:tcW w:type="dxa" w:w="7072"/>
            <w:tcMar>
              <w:top w:type="dxa" w:w="50"/>
              <w:left w:type="dxa" w:w="90"/>
              <w:bottom w:type="dxa" w:w="50"/>
              <w:right w:type="dxa" w:w="90"/>
            </w:tcMar>
          </w:tcPr>
          <w:p>
            <w:r>
              <w:rPr>
                <w:b w:val="false"/>
                <w:bCs w:val="false"/>
                <w:sz w:val="19"/>
                <w:szCs w:val="19"/>
              </w:rPr>
              <w:t xml:space="preserve">Prof. Dr. William C. Chueh, Department of Materials Science and Engineering, Stanford University, USA – Friedrich Wilhelm Bessel Research Award winner of the AvH Foundation (2021), member of the Humboldt Network</w:t>
            </w:r>
          </w:p>
        </w:tc>
      </w:tr>
      <w:tr>
        <w:tc>
          <w:tcPr>
            <w:tcW w:type="dxa" w:w="2000"/>
            <w:tcMar>
              <w:top w:type="dxa" w:w="50"/>
              <w:left w:type="dxa" w:w="90"/>
              <w:bottom w:type="dxa" w:w="50"/>
              <w:right w:type="dxa" w:w="90"/>
            </w:tcMar>
          </w:tcPr>
          <w:p>
            <w:r>
              <w:rPr>
                <w:b w:val="false"/>
                <w:bCs w:val="false"/>
                <w:sz w:val="19"/>
                <w:szCs w:val="19"/>
              </w:rPr>
              <w:t xml:space="preserve">Host institution</w:t>
            </w:r>
          </w:p>
        </w:tc>
        <w:tc>
          <w:tcPr>
            <w:tcW w:type="dxa" w:w="7072"/>
            <w:tcMar>
              <w:top w:type="dxa" w:w="50"/>
              <w:left w:type="dxa" w:w="90"/>
              <w:bottom w:type="dxa" w:w="50"/>
              <w:right w:type="dxa" w:w="90"/>
            </w:tcMar>
          </w:tcPr>
          <w:p>
            <w:r>
              <w:rPr>
                <w:b w:val="false"/>
                <w:bCs w:val="false"/>
                <w:sz w:val="19"/>
                <w:szCs w:val="19"/>
              </w:rPr>
              <w:t xml:space="preserve">Stanford University / SLAC National Accelerator Laboratory (Stanford Synchrotron Radiation Lightsource, SSRL)</w:t>
            </w:r>
          </w:p>
        </w:tc>
      </w:tr>
      <w:tr>
        <w:tc>
          <w:tcPr>
            <w:tcW w:type="dxa" w:w="2000"/>
            <w:tcMar>
              <w:top w:type="dxa" w:w="50"/>
              <w:left w:type="dxa" w:w="90"/>
              <w:bottom w:type="dxa" w:w="50"/>
              <w:right w:type="dxa" w:w="90"/>
            </w:tcMar>
          </w:tcPr>
          <w:p>
            <w:r>
              <w:rPr>
                <w:b w:val="false"/>
                <w:bCs w:val="false"/>
                <w:sz w:val="19"/>
                <w:szCs w:val="19"/>
              </w:rPr>
              <w:t xml:space="preserve">Duration</w:t>
            </w:r>
          </w:p>
        </w:tc>
        <w:tc>
          <w:tcPr>
            <w:tcW w:type="dxa" w:w="7072"/>
            <w:tcMar>
              <w:top w:type="dxa" w:w="50"/>
              <w:left w:type="dxa" w:w="90"/>
              <w:bottom w:type="dxa" w:w="50"/>
              <w:right w:type="dxa" w:w="90"/>
            </w:tcMar>
          </w:tcPr>
          <w:p>
            <w:r>
              <w:rPr>
                <w:b w:val="false"/>
                <w:bCs w:val="false"/>
                <w:sz w:val="19"/>
                <w:szCs w:val="19"/>
              </w:rPr>
              <w:t xml:space="preserve">24 months, starting [e.g. Q2/2027; fellowship must begin 2–12 months after the selection meeting]</w:t>
            </w:r>
          </w:p>
        </w:tc>
      </w:tr>
      <w:tr>
        <w:tc>
          <w:tcPr>
            <w:tcW w:type="dxa" w:w="2000"/>
            <w:tcMar>
              <w:top w:type="dxa" w:w="50"/>
              <w:left w:type="dxa" w:w="90"/>
              <w:bottom w:type="dxa" w:w="50"/>
              <w:right w:type="dxa" w:w="90"/>
            </w:tcMar>
          </w:tcPr>
          <w:p>
            <w:r>
              <w:rPr>
                <w:b w:val="false"/>
                <w:bCs w:val="false"/>
                <w:sz w:val="19"/>
                <w:szCs w:val="19"/>
              </w:rPr>
              <w:t xml:space="preserve">Programme line</w:t>
            </w:r>
          </w:p>
        </w:tc>
        <w:tc>
          <w:tcPr>
            <w:tcW w:type="dxa" w:w="7072"/>
            <w:tcMar>
              <w:top w:type="dxa" w:w="50"/>
              <w:left w:type="dxa" w:w="90"/>
              <w:bottom w:type="dxa" w:w="50"/>
              <w:right w:type="dxa" w:w="90"/>
            </w:tcMar>
          </w:tcPr>
          <w:p>
            <w:r>
              <w:rPr>
                <w:b w:val="false"/>
                <w:bCs w:val="false"/>
                <w:sz w:val="19"/>
                <w:szCs w:val="19"/>
              </w:rPr>
              <w:t xml:space="preserve">Postdoctoral researchers (doctorate 2026, i.e. within the four-year window)</w:t>
            </w:r>
          </w:p>
        </w:tc>
      </w:tr>
      <w:tr>
        <w:tc>
          <w:tcPr>
            <w:tcW w:type="dxa" w:w="2000"/>
            <w:tcMar>
              <w:top w:type="dxa" w:w="50"/>
              <w:left w:type="dxa" w:w="90"/>
              <w:bottom w:type="dxa" w:w="50"/>
              <w:right w:type="dxa" w:w="90"/>
            </w:tcMar>
          </w:tcPr>
          <w:p>
            <w:r>
              <w:rPr>
                <w:b w:val="false"/>
                <w:bCs w:val="false"/>
                <w:sz w:val="19"/>
                <w:szCs w:val="19"/>
              </w:rPr>
              <w:t xml:space="preserve">Targeted selection round</w:t>
            </w:r>
          </w:p>
        </w:tc>
        <w:tc>
          <w:tcPr>
            <w:tcW w:type="dxa" w:w="7072"/>
            <w:tcMar>
              <w:top w:type="dxa" w:w="50"/>
              <w:left w:type="dxa" w:w="90"/>
              <w:bottom w:type="dxa" w:w="50"/>
              <w:right w:type="dxa" w:w="90"/>
            </w:tcMar>
          </w:tcPr>
          <w:p>
            <w:r>
              <w:rPr>
                <w:b w:val="false"/>
                <w:bCs w:val="false"/>
                <w:sz w:val="19"/>
                <w:szCs w:val="19"/>
              </w:rPr>
              <w:t xml:space="preserve">[February/June/October; submission recommended 4–7 months in advance]</w:t>
            </w:r>
          </w:p>
        </w:tc>
      </w:tr>
    </w:tbl>
    <w:p>
      <w:pPr>
        <w:spacing w:after="120"/>
      </w:pPr>
      <w:r>
        <w:rPr>
          <w:i/>
          <w:iCs/>
          <w:sz w:val="18"/>
          <w:szCs w:val="18"/>
        </w:rPr>
        <w:t xml:space="preserve">Note: This document contains the research proposal (exposé, max. 5 pages according to AvH requirements) and a checklist of the further application documents. The project is the 24-month nucleus, tailored to a research stay abroad, of the applicant’s longer-term research programme (Emmy Noether/ERC perspective after returning to Germany); per AvH requirements, the exposé must be coordinated with the host before submission. This material set was added on 09.08.2026 after a systematic family screening (see Materialscreening_2026-08-09) against three evidence criteria: covalency-vs-stoichiometry (XAS), EV-vs-covalency, and demonstrated switching at a noble-metal interface.</w:t>
      </w:r>
    </w:p>
    <w:p>
      <w:pPr>
        <w:pStyle w:val="Heading1"/>
        <w:spacing w:after="120" w:before="240"/>
      </w:pPr>
      <w:r>
        <w:t xml:space="preserve">Research Proposal (Exposé)</w:t>
      </w:r>
    </w:p>
    <w:p>
      <w:pPr>
        <w:pStyle w:val="Heading2"/>
        <w:spacing w:after="120" w:before="240"/>
      </w:pPr>
      <w:r>
        <w:t xml:space="preserve">1  Research question and scientific significance</w:t>
      </w:r>
    </w:p>
    <w:p>
      <w:pPr>
        <w:spacing w:after="120"/>
      </w:pPr>
      <w:r>
        <w:t xml:space="preserve">Memristive devices based on the valence change mechanism switch their resistance through field-driven redistribution of oxygen defects [1–3], with the oxygen-defect formation energy entering all quantitative models exponentially [3, 4]. Energy research has established the metal–oxygen covalency as the controlling descriptor of this energy [5–8] – but the experimental test of this link in memristive devices is missing. My project performs this test on YBa2Cu3O7-δ (YBCO): the one oxide outside the perovskite manganite/ferrite families in which all three evidence pillars of a clean descriptor study already coexist.</w:t>
      </w:r>
    </w:p>
    <w:p>
      <w:pPr>
        <w:spacing w:after="120"/>
      </w:pPr>
      <w:r>
        <w:t xml:space="preserve">(i) Covalency vs. stoichiometry is measured with unmatched precision: the site-specific, polarisation-resolved O-1s/Cu-2p XAS of YBCO resolves the doped-hole count separately for the CuO2 planes, the CuO chains and the apical oxygen as a function of oxygen content δ and cation doping [9, 10] – a level of spectroscopic resolution no perovskite series offers. The chain-oxygen content δ is continuously and reversibly tunable between 6.0 and 7.0 by annealing, making it an exceptionally fine stoichiometry axis. (ii) EV vs. site and stoichiometry is computed: DFT point-defect studies give site-resolved vacancy formation energies (chain ≈ 1.2 eV vs. plane ≈ 2.1 eV in YBa2Cu3O6.5) that depend on the oxygen content itself [14, 15]. (iii) Switching at noble interfaces is established and replicated: Au/YBCO/Au cells switch bipolar and non-volatile via interfacial oxygen-vacancy migration [11], with recent replications and mechanistic extensions from 80 to 300 K [12, 13]. The gap: all published devices are ceramic; no epitaxial, δ-controlled, statistically robust device series with simultaneous XAS covalency quantification exists. My central hypothesis: the switching figures of merit of Au/YBCO devices scale with the chain-hole covalency measured by site-resolved XAS – making YBCO the sharpest single-material test of the descriptor chain and, at the same time, the first extension of the planned “treasure map” beyond the perovskite structure family.</w:t>
      </w:r>
    </w:p>
    <w:p>
      <w:pPr>
        <w:spacing w:after="120"/>
      </w:pPr>
      <w:r>
        <w:t xml:space="preserve">Design constraints are addressed openly: below Tc ≈ 93 K superconductivity takes over (all device metrology therefore runs at ≥ 100 K and room temperature), and the ortho-ordering kinetics of the chain oxygen add a slow structural relaxation that is monitored by XRD. Both are charted boundaries, not confounders of the room-temperature descriptor study.</w:t>
      </w:r>
    </w:p>
    <w:p>
      <w:pPr>
        <w:spacing w:after="120"/>
      </w:pPr>
      <w:r>
        <w:t xml:space="preserve">Conceptual footing (sharpened after expert feedback, 08/2026): throughout this project, “covalency” is used in the quantitative sense of the charge-transfer/cluster-model framework – charge-transfer energy Δ, on-site Coulomb energy U and transfer integrals, in the Zaanen–Sawatzky–Allen classification [22] and as extracted compound by compound by the configuration-interaction analyses of Fujimori, Bocquet, Saitoh, Sarma and co-workers [23–26]. O-K pre-edge intensities serve as a relative, series-internal hybridisation measure only; their limits as an absolute covalency scale (core-hole effects, ligand-hole distribution, band effects) are treated explicitly [27], and the conflation of hybridisation with covalency that is common in the catalysis-descriptor literature is deliberately avoided – </w:t>
      </w:r>
      <w:r>
        <w:t xml:space="preserve">the descriptor scale of this project is calibrated against cluster-model analysis, not against pre-edge intensity alone. System-specific parameter status (re-screening, 09.08.2026): the CuO2-plane parameter set (Δ, Udd, tpd) is cross-validated by several independent CI analyses [28, 29]; a δ-resolved, chain/plane-separated extraction for YBCO is thin and methodologically contested – non-local screening distorts single-impurity fits [30] – which is precisely the refinement this project’s site-resolved XAS series enables.</w:t>
      </w:r>
    </w:p>
    <w:p>
      <w:pPr>
        <w:pStyle w:val="Heading2"/>
        <w:spacing w:after="120" w:before="240"/>
      </w:pPr>
      <w:r>
        <w:t xml:space="preserve">2  Why the Chueh group at Stanford is the ideal place</w:t>
      </w:r>
    </w:p>
    <w:p>
      <w:pPr>
        <w:spacing w:after="120"/>
      </w:pPr>
      <w:r>
        <w:t xml:space="preserve">The group of Prof. William Chueh is a world leader in exactly the combination this project requires: defect chemistry and non-stoichiometry of redox-active oxides, quantitative operando X-ray absorption spectroscopy at the in-house Stanford Synchrotron Radiation Lightsource (SSRL), and redox chemistry of epitaxial oxide thin films [18–20]. The group’s seminal work on the redox activity of oxygen anions in oxygen-deficient perovskites [19] is a direct methodological blueprint for my project; the Nature Materials study on atomically defined LaNiO3 surfaces [20] – with Christoph Baeumer from the Jülich school as first author – furthermore demonstrates that the group routinely masters epitaxial oxide model systems of the type proposed here and successfully integrates German postdocs. Direct SSRL access makes XAS campaigns plannable that in Europe cost months of lead time through competitive single proposals. Complementarily, I contribute the device side, from which the Stanford environment profits in turn: PLD process development, memristive device processing and statistically robust switching characterisation from five years at the Peter Grünberg Institute (PGI-7, group of Prof. Dittmann) [E1–E3]. The constellation is thus a genuine two-way transfer of knowledge. For complementary epitaxial growth questions, the environment of the Stanford Institute for Materials and Energy Sciences (SIMES) at SLAC is available. As a Bessel Research Award winner (2021), Prof. Chueh is a member of the Humboldt Network and has repeatedly hosted German postdocs – the host eligibility required by the programme is given.</w:t>
      </w:r>
    </w:p>
    <w:p>
      <w:pPr>
        <w:spacing w:after="120"/>
      </w:pPr>
      <w:r>
        <w:t xml:space="preserve">[Host choice under review after first-hand feedback (08/2026): the Chueh group’s own perovskite/oxide-redox activities have largely moved on; the relevant lines are continued in alumni groups – C. Baeumer (University of Twente), Q. Lu (Westlake University), J. T. Mefford, D. Chen. If XAS quantification is the methodological core, a host with direct synchrotron access (e.g. PSI/SLS, MAX IV, Diamond, or a beamline-affiliated group) is a serious alternative. Re-validate and, if necessary, rewrite this section before submission.]</w:t>
      </w:r>
    </w:p>
    <w:p>
      <w:pPr>
        <w:pStyle w:val="Heading2"/>
        <w:spacing w:after="120" w:before="240"/>
      </w:pPr>
      <w:r>
        <w:t xml:space="preserve">3  Work programme (24 months)</w:t>
      </w:r>
    </w:p>
    <w:p>
      <w:pPr>
        <w:spacing w:after="120"/>
      </w:pPr>
      <w:r>
        <w:rPr>
          <w:b/>
          <w:bCs/>
        </w:rPr>
        <w:t xml:space="preserve">WP1 – Synthesis and descriptor measurement (months 1–10)</w:t>
      </w:r>
    </w:p>
    <w:p>
      <w:pPr>
        <w:spacing w:after="120"/>
      </w:pPr>
      <w:r>
        <w:t xml:space="preserve">PLD growth of epitaxial YBCO films on SrTiO3 and NdGaO3 in the Stanford/SLAC thin-film laboratories; δ-series (six oxygen contents between O6.4 and O7.0) set by controlled p(O2) annealing, verified by c-axis XRD and transport; structural validation (XRD/RSM, AFM). In parallel, first XAS campaign at SSRL: site-resolved O-K pre-edge quantification (plane/chain/apex following [9, 10]) and Cu-L2,3 valence analysis for every δ → experimental covalency scale of the series. Milestone M1 (month 10): validated δ-series with complete site-resolved descriptor set.</w:t>
      </w:r>
    </w:p>
    <w:p>
      <w:pPr>
        <w:spacing w:after="120"/>
      </w:pPr>
      <w:r>
        <w:rPr>
          <w:b/>
          <w:bCs/>
        </w:rPr>
        <w:t xml:space="preserve">WP2 – Devices and switching characterisation (months 8–18)</w:t>
      </w:r>
    </w:p>
    <w:p>
      <w:pPr>
        <w:spacing w:after="120"/>
      </w:pPr>
      <w:r>
        <w:t xml:space="preserve">Au-active pads (replicating the proven noble-contact geometry [11–13]) and Pt pads as second inert flavour, processed photolithographically with ≥ 30 nominally identical cells per δ; quasistatic and pulsed characterisation at 100–300 K under the statistics protocol established in my doctorate (ON/OFF, forming requirement, kinetics, retention, endurance). Milestone M2 (month 18): switching figures of merit as a function of δ, in epitaxial cells, with robust statistics – the first non-ceramic Au/YBCO device series.</w:t>
      </w:r>
    </w:p>
    <w:p>
      <w:pPr>
        <w:spacing w:after="120"/>
      </w:pPr>
      <w:r>
        <w:rPr>
          <w:b/>
          <w:bCs/>
        </w:rPr>
        <w:t xml:space="preserve">WP3 – Correlation, operando validation and publication (months 16–24)</w:t>
      </w:r>
    </w:p>
    <w:p>
      <w:pPr>
        <w:spacing w:after="120"/>
      </w:pPr>
      <w:r>
        <w:t xml:space="preserve">Correlation analysis site-resolved covalency (XAS) ↔ site-resolved EV (DFT [14, 15]) ↔ switching metrics; test of the chain-hole hypothesis. Second SSRL campaign: XAS on switched cells (ex-situ before/after, operando if successful) to verify δ-dependent VO dynamics at the Au interface. Publication of the first covalency-resolved cuprate memristor study; dataset released following FAIR principles. Milestone M3 (month 24): submitted publication(s), public dataset.</w:t>
      </w:r>
    </w:p>
    <w:p>
      <w:pPr>
        <w:pStyle w:val="Heading2"/>
        <w:spacing w:after="120" w:before="240"/>
      </w:pPr>
      <w:r>
        <w:t xml:space="preserve">4  Timeline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72"/>
        <w:gridCol w:w="775"/>
        <w:gridCol w:w="775"/>
        <w:gridCol w:w="775"/>
        <w:gridCol w:w="775"/>
        <w:gridCol w:w="775"/>
        <w:gridCol w:w="775"/>
        <w:gridCol w:w="775"/>
        <w:gridCol w:w="775"/>
      </w:tblGrid>
      <w:tr>
        <w:tc>
          <w:tcPr>
            <w:tcW w:type="dxa" w:w="2872"/>
            <w:shd w:fill="EEF1F5" w:val="clear"/>
            <w:tcMar>
              <w:top w:type="dxa" w:w="50"/>
              <w:left w:type="dxa" w:w="90"/>
              <w:bottom w:type="dxa" w:w="50"/>
              <w:right w:type="dxa" w:w="90"/>
            </w:tcMar>
          </w:tcPr>
          <w:p>
            <w:r>
              <w:rPr>
                <w:b/>
                <w:bCs/>
                <w:sz w:val="19"/>
                <w:szCs w:val="19"/>
              </w:rPr>
              <w:t xml:space="preserve">Work package</w:t>
            </w:r>
          </w:p>
        </w:tc>
        <w:tc>
          <w:tcPr>
            <w:tcW w:type="dxa" w:w="775"/>
            <w:shd w:fill="EEF1F5" w:val="clear"/>
            <w:tcMar>
              <w:top w:type="dxa" w:w="50"/>
              <w:left w:type="dxa" w:w="90"/>
              <w:bottom w:type="dxa" w:w="50"/>
              <w:right w:type="dxa" w:w="90"/>
            </w:tcMar>
          </w:tcPr>
          <w:p>
            <w:r>
              <w:rPr>
                <w:b/>
                <w:bCs/>
                <w:sz w:val="19"/>
                <w:szCs w:val="19"/>
              </w:rPr>
              <w:t xml:space="preserve">Q1</w:t>
            </w:r>
          </w:p>
        </w:tc>
        <w:tc>
          <w:tcPr>
            <w:tcW w:type="dxa" w:w="775"/>
            <w:shd w:fill="EEF1F5" w:val="clear"/>
            <w:tcMar>
              <w:top w:type="dxa" w:w="50"/>
              <w:left w:type="dxa" w:w="90"/>
              <w:bottom w:type="dxa" w:w="50"/>
              <w:right w:type="dxa" w:w="90"/>
            </w:tcMar>
          </w:tcPr>
          <w:p>
            <w:r>
              <w:rPr>
                <w:b/>
                <w:bCs/>
                <w:sz w:val="19"/>
                <w:szCs w:val="19"/>
              </w:rPr>
              <w:t xml:space="preserve">Q2</w:t>
            </w:r>
          </w:p>
        </w:tc>
        <w:tc>
          <w:tcPr>
            <w:tcW w:type="dxa" w:w="775"/>
            <w:shd w:fill="EEF1F5" w:val="clear"/>
            <w:tcMar>
              <w:top w:type="dxa" w:w="50"/>
              <w:left w:type="dxa" w:w="90"/>
              <w:bottom w:type="dxa" w:w="50"/>
              <w:right w:type="dxa" w:w="90"/>
            </w:tcMar>
          </w:tcPr>
          <w:p>
            <w:r>
              <w:rPr>
                <w:b/>
                <w:bCs/>
                <w:sz w:val="19"/>
                <w:szCs w:val="19"/>
              </w:rPr>
              <w:t xml:space="preserve">Q3</w:t>
            </w:r>
          </w:p>
        </w:tc>
        <w:tc>
          <w:tcPr>
            <w:tcW w:type="dxa" w:w="775"/>
            <w:shd w:fill="EEF1F5" w:val="clear"/>
            <w:tcMar>
              <w:top w:type="dxa" w:w="50"/>
              <w:left w:type="dxa" w:w="90"/>
              <w:bottom w:type="dxa" w:w="50"/>
              <w:right w:type="dxa" w:w="90"/>
            </w:tcMar>
          </w:tcPr>
          <w:p>
            <w:r>
              <w:rPr>
                <w:b/>
                <w:bCs/>
                <w:sz w:val="19"/>
                <w:szCs w:val="19"/>
              </w:rPr>
              <w:t xml:space="preserve">Q4</w:t>
            </w:r>
          </w:p>
        </w:tc>
        <w:tc>
          <w:tcPr>
            <w:tcW w:type="dxa" w:w="775"/>
            <w:shd w:fill="EEF1F5" w:val="clear"/>
            <w:tcMar>
              <w:top w:type="dxa" w:w="50"/>
              <w:left w:type="dxa" w:w="90"/>
              <w:bottom w:type="dxa" w:w="50"/>
              <w:right w:type="dxa" w:w="90"/>
            </w:tcMar>
          </w:tcPr>
          <w:p>
            <w:r>
              <w:rPr>
                <w:b/>
                <w:bCs/>
                <w:sz w:val="19"/>
                <w:szCs w:val="19"/>
              </w:rPr>
              <w:t xml:space="preserve">Q5</w:t>
            </w:r>
          </w:p>
        </w:tc>
        <w:tc>
          <w:tcPr>
            <w:tcW w:type="dxa" w:w="775"/>
            <w:shd w:fill="EEF1F5" w:val="clear"/>
            <w:tcMar>
              <w:top w:type="dxa" w:w="50"/>
              <w:left w:type="dxa" w:w="90"/>
              <w:bottom w:type="dxa" w:w="50"/>
              <w:right w:type="dxa" w:w="90"/>
            </w:tcMar>
          </w:tcPr>
          <w:p>
            <w:r>
              <w:rPr>
                <w:b/>
                <w:bCs/>
                <w:sz w:val="19"/>
                <w:szCs w:val="19"/>
              </w:rPr>
              <w:t xml:space="preserve">Q6</w:t>
            </w:r>
          </w:p>
        </w:tc>
        <w:tc>
          <w:tcPr>
            <w:tcW w:type="dxa" w:w="775"/>
            <w:shd w:fill="EEF1F5" w:val="clear"/>
            <w:tcMar>
              <w:top w:type="dxa" w:w="50"/>
              <w:left w:type="dxa" w:w="90"/>
              <w:bottom w:type="dxa" w:w="50"/>
              <w:right w:type="dxa" w:w="90"/>
            </w:tcMar>
          </w:tcPr>
          <w:p>
            <w:r>
              <w:rPr>
                <w:b/>
                <w:bCs/>
                <w:sz w:val="19"/>
                <w:szCs w:val="19"/>
              </w:rPr>
              <w:t xml:space="preserve">Q7</w:t>
            </w:r>
          </w:p>
        </w:tc>
        <w:tc>
          <w:tcPr>
            <w:tcW w:type="dxa" w:w="775"/>
            <w:shd w:fill="EEF1F5" w:val="clear"/>
            <w:tcMar>
              <w:top w:type="dxa" w:w="50"/>
              <w:left w:type="dxa" w:w="90"/>
              <w:bottom w:type="dxa" w:w="50"/>
              <w:right w:type="dxa" w:w="90"/>
            </w:tcMar>
          </w:tcPr>
          <w:p>
            <w:r>
              <w:rPr>
                <w:b/>
                <w:bCs/>
                <w:sz w:val="19"/>
                <w:szCs w:val="19"/>
              </w:rPr>
              <w:t xml:space="preserve">Q8</w:t>
            </w:r>
          </w:p>
        </w:tc>
      </w:tr>
      <w:tr>
        <w:tc>
          <w:tcPr>
            <w:tcW w:type="dxa" w:w="2872"/>
            <w:tcMar>
              <w:top w:type="dxa" w:w="50"/>
              <w:left w:type="dxa" w:w="90"/>
              <w:bottom w:type="dxa" w:w="50"/>
              <w:right w:type="dxa" w:w="90"/>
            </w:tcMar>
          </w:tcPr>
          <w:p>
            <w:r>
              <w:rPr>
                <w:b w:val="false"/>
                <w:bCs w:val="false"/>
                <w:sz w:val="19"/>
                <w:szCs w:val="19"/>
              </w:rPr>
              <w:t xml:space="preserve">WP1 Synthesis + XAS descriptors</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r>
      <w:tr>
        <w:tc>
          <w:tcPr>
            <w:tcW w:type="dxa" w:w="2872"/>
            <w:tcMar>
              <w:top w:type="dxa" w:w="50"/>
              <w:left w:type="dxa" w:w="90"/>
              <w:bottom w:type="dxa" w:w="50"/>
              <w:right w:type="dxa" w:w="90"/>
            </w:tcMar>
          </w:tcPr>
          <w:p>
            <w:r>
              <w:rPr>
                <w:b w:val="false"/>
                <w:bCs w:val="false"/>
                <w:sz w:val="19"/>
                <w:szCs w:val="19"/>
              </w:rPr>
              <w:t xml:space="preserve">WP2 Devices + switching statistics</w:t>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r>
      <w:tr>
        <w:tc>
          <w:tcPr>
            <w:tcW w:type="dxa" w:w="2872"/>
            <w:tcMar>
              <w:top w:type="dxa" w:w="50"/>
              <w:left w:type="dxa" w:w="90"/>
              <w:bottom w:type="dxa" w:w="50"/>
              <w:right w:type="dxa" w:w="90"/>
            </w:tcMar>
          </w:tcPr>
          <w:p>
            <w:r>
              <w:rPr>
                <w:b w:val="false"/>
                <w:bCs w:val="false"/>
                <w:sz w:val="19"/>
                <w:szCs w:val="19"/>
              </w:rPr>
              <w:t xml:space="preserve">WP3 Correlation + operando + publication</w:t>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r>
    </w:tbl>
    <w:p>
      <w:pPr>
        <w:pStyle w:val="Heading2"/>
        <w:spacing w:after="120" w:before="240"/>
      </w:pPr>
      <w:r>
        <w:t xml:space="preserve">5  Career perspective and return strategy</w:t>
      </w:r>
    </w:p>
    <w:p>
      <w:pPr>
        <w:spacing w:after="120"/>
      </w:pPr>
      <w:r>
        <w:t xml:space="preserve">The project is the deliberate building block between my doctorate (memristive devices, PLD, switching statistics) and my longer-term goal of establishing my own junior research group in Germany on descriptor-based materials development for memristive oxides (Emmy Noether proposal in preparation; ERC Starting Grant as an alternative). The stay with Prof. Chueh closes the one competence gap of my profile – quantitative synchrotron XAS and defect thermodynamics – and at the same time delivers the empirical foundation for the larger programme of a “treasure map” of memristive oxides in analogy to the bonding-descriptor maps of Wuttig et al. [21]. The choice of YBCO is deliberately map-strategic: it adds the cuprate charge-transfer bonding class and a second structure family to the descriptor map, testing whether the covalency–EV–switching correlation generalises beyond the perovskites – the decisive question for the map’s predictive claim. The return is concretely planned: reintegration into the German oxide-electronics environment (FZ Jülich/RWTH Aachen, JARA), supported by the Feodor Lynen Return Fellowship, with submission of the group proposal during the final year of the stay. The Stanford/SSRL collaboration built up abroad will be continued as the transatlantic bridge of the future group.</w:t>
      </w:r>
    </w:p>
    <w:p>
      <w:pPr>
        <w:pStyle w:val="Heading2"/>
        <w:spacing w:after="120" w:before="240"/>
      </w:pPr>
      <w:r>
        <w:t xml:space="preserve">6  References</w:t>
      </w:r>
    </w:p>
    <w:p>
      <w:pPr>
        <w:spacing w:after="120"/>
      </w:pPr>
      <w:r>
        <w:rPr>
          <w:sz w:val="18"/>
          <w:szCs w:val="18"/>
        </w:rPr>
        <w:t xml:space="preserve">[1] R. Waser, M. Aono, Nanoionics-based resistive switching memories. Nature Materials 6, 833–840 (2007).</w:t>
      </w:r>
    </w:p>
    <w:p>
      <w:pPr>
        <w:spacing w:after="120"/>
      </w:pPr>
      <w:r>
        <w:rPr>
          <w:sz w:val="18"/>
          <w:szCs w:val="18"/>
        </w:rPr>
        <w:t xml:space="preserve">[2] R. Waser, R. Dittmann, G. Staikov, K. Szot, Redox-Based Resistive Switching Memories – Nanoionic Mechanisms, Prospects, and Challenges. Advanced Materials 21, 2632–2663 (2009).</w:t>
      </w:r>
    </w:p>
    <w:p>
      <w:pPr>
        <w:spacing w:after="120"/>
      </w:pPr>
      <w:r>
        <w:rPr>
          <w:sz w:val="18"/>
          <w:szCs w:val="18"/>
        </w:rPr>
        <w:t xml:space="preserve">[3] R. Dittmann, S. Menzel, R. Waser, Nanoionic memristive phenomena in metal oxides: the valence change mechanism. Advances in Physics 70, 155–349 (2021).</w:t>
      </w:r>
    </w:p>
    <w:p>
      <w:pPr>
        <w:spacing w:after="120"/>
      </w:pPr>
      <w:r>
        <w:rPr>
          <w:sz w:val="18"/>
          <w:szCs w:val="18"/>
        </w:rPr>
        <w:t xml:space="preserve">[4] S. Menzel, M. Waters, A. Marchewka, U. Böttger, R. Dittmann, R. Waser, Origin of the Ultra-nonlinear Switching Kinetics in Oxide-Based Resistive Switches. Advanced Functional Materials 21, 4487–4492 (2011).</w:t>
      </w:r>
    </w:p>
    <w:p>
      <w:pPr>
        <w:spacing w:after="120"/>
      </w:pPr>
      <w:r>
        <w:rPr>
          <w:sz w:val="18"/>
          <w:szCs w:val="18"/>
        </w:rPr>
        <w:t xml:space="preserve">[5] Y.-L. Lee, J. Kleis, J. Rossmeisl, Y. Shao-Horn, D. Morgan, Prediction of solid oxide fuel cell cathode activity with first-principles descriptors. Energy &amp; Environmental Science 4, 3966–3970 (2011).</w:t>
      </w:r>
    </w:p>
    <w:p>
      <w:pPr>
        <w:spacing w:after="120"/>
      </w:pPr>
      <w:r>
        <w:rPr>
          <w:sz w:val="18"/>
          <w:szCs w:val="18"/>
        </w:rPr>
        <w:t xml:space="preserve">[6] R. Jacobs, J. Hwang, Y. Shao-Horn, D. Morgan, Assessing Correlations of Perovskite Catalytic Performance with Electronic Structure Descriptors. Chemistry of Materials 31, 785–797 (2019).</w:t>
      </w:r>
    </w:p>
    <w:p>
      <w:pPr>
        <w:spacing w:after="120"/>
      </w:pPr>
      <w:r>
        <w:rPr>
          <w:sz w:val="18"/>
          <w:szCs w:val="18"/>
        </w:rPr>
        <w:t xml:space="preserve">[7] A. M. Deml, V. Stevanović, C. L. Muhich, C. B. Musgrave, R. O’Hayre, Oxide enthalpy of formation and band gap energy as accurate descriptors of oxygen vacancy formation energetics. Energy &amp; Environmental Science 7, 1996–2004 (2014).</w:t>
      </w:r>
    </w:p>
    <w:p>
      <w:pPr>
        <w:spacing w:after="120"/>
      </w:pPr>
      <w:r>
        <w:rPr>
          <w:sz w:val="18"/>
          <w:szCs w:val="18"/>
        </w:rPr>
        <w:t xml:space="preserve">[8] R. B. Wexler, G. Sai Gautam, E. B. Stechel, E. A. Carter, Factors Governing Oxygen Vacancy Formation in Oxide Perovskites. Journal of the American Chemical Society 143, 13212–13227 (2021).</w:t>
      </w:r>
    </w:p>
    <w:p>
      <w:pPr>
        <w:spacing w:after="120"/>
      </w:pPr>
      <w:r>
        <w:rPr>
          <w:sz w:val="18"/>
          <w:szCs w:val="18"/>
        </w:rPr>
        <w:t xml:space="preserve">[9] N. Nücker et al., Site-specific and doping-dependent electronic structure of YBa2Cu3Ox probed by O 1s and Cu 2p x-ray-absorption spectroscopy. Physical Review B 51, 8529 (1995). [verify page range before submission]</w:t>
      </w:r>
    </w:p>
    <w:p>
      <w:pPr>
        <w:spacing w:after="120"/>
      </w:pPr>
      <w:r>
        <w:rPr>
          <w:sz w:val="18"/>
          <w:szCs w:val="18"/>
        </w:rPr>
        <w:t xml:space="preserve">[10] M. Merz et al., Site-specific X-Ray Absorption Spectroscopy of Y1-xCaxBa2Cu3O7-y: Overdoping and Role of Apical Oxygen for High-Temperature Superconductivity. Physical Review Letters 80, 5192 (1998). [verify exact title before submission]</w:t>
      </w:r>
    </w:p>
    <w:p>
      <w:pPr>
        <w:spacing w:after="120"/>
      </w:pPr>
      <w:r>
        <w:rPr>
          <w:sz w:val="18"/>
          <w:szCs w:val="18"/>
        </w:rPr>
        <w:t xml:space="preserve">[11] C. Acha, M. J. Rozenberg, Non-volatile resistive switching in the dielectric superconductor YBa2Cu3O7-δ. Journal of Physics: Condensed Matter 21, 045702 (2009).</w:t>
      </w:r>
    </w:p>
    <w:p>
      <w:pPr>
        <w:spacing w:after="120"/>
      </w:pPr>
      <w:r>
        <w:rPr>
          <w:sz w:val="18"/>
          <w:szCs w:val="18"/>
        </w:rPr>
        <w:t xml:space="preserve">[12] Switching dynamics of oxygen-vacancy memristors based on cuprate superconductors. Applied Physics Letters 127, 241602 (2025). [complete author list before submission]</w:t>
      </w:r>
    </w:p>
    <w:p>
      <w:pPr>
        <w:spacing w:after="120"/>
      </w:pPr>
      <w:r>
        <w:rPr>
          <w:sz w:val="18"/>
          <w:szCs w:val="18"/>
        </w:rPr>
        <w:t xml:space="preserve">[13] Bipolar resistive switching in Au/YBa2Cu3O7-δ devices between 80 and 300 K. ACS Applied Electronic Materials (2025), DOI 10.1021/acsaelm.5c02017. [complete citation before submission]</w:t>
      </w:r>
    </w:p>
    <w:p>
      <w:pPr>
        <w:spacing w:after="120"/>
      </w:pPr>
      <w:r>
        <w:rPr>
          <w:sz w:val="18"/>
          <w:szCs w:val="18"/>
        </w:rPr>
        <w:t xml:space="preserve">[14] First-principles study of point defects in YBa2Cu3O7. Journal of Physics Communications 4 (2020), DOI 10.1088/2399-6528/abc9a7. [complete citation before submission]</w:t>
      </w:r>
    </w:p>
    <w:p>
      <w:pPr>
        <w:spacing w:after="120"/>
      </w:pPr>
      <w:r>
        <w:rPr>
          <w:sz w:val="18"/>
          <w:szCs w:val="18"/>
        </w:rPr>
        <w:t xml:space="preserve">[15] Site-dependent oxygen-vacancy formation energies in YBa2Cu3O6.5. Journal of Applied Physics 140, 055104. [verify citation before submission]</w:t>
      </w:r>
    </w:p>
    <w:p>
      <w:pPr>
        <w:spacing w:after="120"/>
      </w:pPr>
      <w:r>
        <w:rPr>
          <w:sz w:val="18"/>
          <w:szCs w:val="18"/>
        </w:rPr>
        <w:t xml:space="preserve">[16] J. Suntivich et al., Estimating Hybridization of Transition Metal and Oxygen States in Perovskites from O K-edge X-ray Absorption Spectroscopy. Journal of Physical Chemistry C 118, 1856–1863 (2014).</w:t>
      </w:r>
    </w:p>
    <w:p>
      <w:pPr>
        <w:spacing w:after="120"/>
      </w:pPr>
      <w:r>
        <w:rPr>
          <w:sz w:val="18"/>
          <w:szCs w:val="18"/>
        </w:rPr>
        <w:t xml:space="preserve">[17] F. Frati, M. O. J. Y. Hunault, F. M. F. de Groot, Oxygen K-edge X-ray Absorption Spectra. Chemical Reviews 120, 4056–4110 (2020).</w:t>
      </w:r>
    </w:p>
    <w:p>
      <w:pPr>
        <w:spacing w:after="120"/>
      </w:pPr>
      <w:r>
        <w:rPr>
          <w:sz w:val="18"/>
          <w:szCs w:val="18"/>
        </w:rPr>
        <w:t xml:space="preserve">[18] W. C. Chueh, C. Falter, M. Abbott, D. Scipio, P. Furler, S. M. Haile, A. Steinfeld, High-Flux Solar-Driven Thermochemical Dissociation of CO2 and H2O Using Nonstoichiometric Ceria. Science 330, 1797–1801 (2010).</w:t>
      </w:r>
    </w:p>
    <w:p>
      <w:pPr>
        <w:spacing w:after="120"/>
      </w:pPr>
      <w:r>
        <w:rPr>
          <w:sz w:val="18"/>
          <w:szCs w:val="18"/>
        </w:rPr>
        <w:t xml:space="preserve">[19] D. N. Mueller, M. L. Machala, H. Bluhm, W. C. Chueh, Redox activity of surface oxygen anions in oxygen-deficient perovskite oxides during electrochemical reactions. Nature Communications 6, 6097 (2015).</w:t>
      </w:r>
    </w:p>
    <w:p>
      <w:pPr>
        <w:spacing w:after="120"/>
      </w:pPr>
      <w:r>
        <w:rPr>
          <w:sz w:val="18"/>
          <w:szCs w:val="18"/>
        </w:rPr>
        <w:t xml:space="preserve">[20] C. Baeumer, J. Li, Q. Lu et al. (with W. C. Chueh), Tuning electrochemically driven surface transformation in atomically flat LaNiO3 thin films for enhanced water electrolysis. Nature Materials 20, 674–682 (2021).</w:t>
      </w:r>
    </w:p>
    <w:p>
      <w:pPr>
        <w:spacing w:after="120"/>
      </w:pPr>
      <w:r>
        <w:rPr>
          <w:sz w:val="18"/>
          <w:szCs w:val="18"/>
        </w:rPr>
        <w:t xml:space="preserve">[21] M. Wuttig et al., Revisiting the Nature of Chemical Bonding in Chalcogenides to Explain and Design their Properties. Advanced Materials 35, 2208485 (2023).</w:t>
      </w:r>
    </w:p>
    <w:p>
      <w:pPr>
        <w:spacing w:after="120"/>
      </w:pPr>
      <w:r>
        <w:rPr>
          <w:sz w:val="18"/>
          <w:szCs w:val="18"/>
        </w:rPr>
        <w:t xml:space="preserve">[22] J. Zaanen, G. A. Sawatzky, J. W. Allen, Band gaps and electronic structure of transition-metal compounds. Physical Review Letters 55, 418–421 (1985).</w:t>
      </w:r>
    </w:p>
    <w:p>
      <w:pPr>
        <w:spacing w:after="120"/>
      </w:pPr>
      <w:r>
        <w:rPr>
          <w:sz w:val="18"/>
          <w:szCs w:val="18"/>
        </w:rPr>
        <w:t xml:space="preserve">[23] A. Fujimori, F. Minami, Valence-band photoemission and optical absorption in nickel compounds. Physical Review B 30, 957–971 (1984).</w:t>
      </w:r>
    </w:p>
    <w:p>
      <w:pPr>
        <w:spacing w:after="120"/>
      </w:pPr>
      <w:r>
        <w:rPr>
          <w:sz w:val="18"/>
          <w:szCs w:val="18"/>
        </w:rPr>
        <w:t xml:space="preserve">[24] A. E. Bocquet, T. Mizokawa, T. Saitoh, H. Namatame, A. Fujimori, Electronic structure of 3d-transition-metal compounds by analysis of the 2p core-level photoemission spectra. Physical Review B 46, 3771–3784 (1992).</w:t>
      </w:r>
    </w:p>
    <w:p>
      <w:pPr>
        <w:spacing w:after="120"/>
      </w:pPr>
      <w:r>
        <w:rPr>
          <w:sz w:val="18"/>
          <w:szCs w:val="18"/>
        </w:rPr>
        <w:t xml:space="preserve">[25] T. Saitoh, A. E. Bocquet, T. Mizokawa, A. Fujimori, Systematic variation of the electronic structure of 3d transition-metal compounds. Physical Review B 52, 7934–7938 (1995).</w:t>
      </w:r>
    </w:p>
    <w:p>
      <w:pPr>
        <w:spacing w:after="120"/>
      </w:pPr>
      <w:r>
        <w:rPr>
          <w:sz w:val="18"/>
          <w:szCs w:val="18"/>
        </w:rPr>
        <w:t xml:space="preserve">[26] S. Nimkar, D. D. Sarma, H. R. Krishnamurthy, S. Ramasesha, Mean-field results of the multiple-band extended Hubbard model for the square-planar CuO2 lattice. Physical Review B 48, 7355–7363 (1993).</w:t>
      </w:r>
    </w:p>
    <w:p>
      <w:pPr>
        <w:spacing w:after="120"/>
      </w:pPr>
      <w:r>
        <w:rPr>
          <w:sz w:val="18"/>
          <w:szCs w:val="18"/>
        </w:rPr>
        <w:t xml:space="preserve">[27] F. M. F. de Groot, X-ray absorption and dichroism of transition metals and their compounds. Journal of Electron Spectroscopy and Related Phenomena 67, 529–622 (1994).</w:t>
      </w:r>
    </w:p>
    <w:p>
      <w:pPr>
        <w:spacing w:after="120"/>
      </w:pPr>
      <w:r>
        <w:rPr>
          <w:sz w:val="18"/>
          <w:szCs w:val="18"/>
        </w:rPr>
        <w:t xml:space="preserve">[28] H. Eskes, G. A. Sawatzky, Tendency towards local spin compensation of holes in the high-Tc copper compounds. Physical Review Letters 61, 1415–1418 (1988).</w:t>
      </w:r>
    </w:p>
    <w:p>
      <w:pPr>
        <w:spacing w:after="120"/>
      </w:pPr>
      <w:r>
        <w:rPr>
          <w:sz w:val="18"/>
          <w:szCs w:val="18"/>
        </w:rPr>
        <w:t xml:space="preserve">[29] Z.-X. Shen, J. W. Allen et al., Anderson Hamiltonian description of the experimental electronic structure and magnetic interactions of copper oxide superconductors. Physical Review B 36, 8414 (1987).</w:t>
      </w:r>
    </w:p>
    <w:p>
      <w:pPr>
        <w:spacing w:after="120"/>
      </w:pPr>
      <w:r>
        <w:rPr>
          <w:sz w:val="18"/>
          <w:szCs w:val="18"/>
        </w:rPr>
        <w:t xml:space="preserve">[30] M. A. van Veenendaal, G. A. Sawatzky et al., Physical Review B 49, 3473 (1994). [nonlocal screening in Cu 2p spectra; complete citation before submission]</w:t>
      </w:r>
    </w:p>
    <w:p>
      <w:pPr>
        <w:spacing w:after="120"/>
      </w:pPr>
      <w:r>
        <w:rPr>
          <w:sz w:val="18"/>
          <w:szCs w:val="18"/>
        </w:rPr>
        <w:t xml:space="preserve">[E1] M. Buczek et al., Amorphous, Highly Conductive Pr0.7Ca0.3MnO3 for Area-Dependent Resistive Switching Devices. Advanced Electronic Materials (2026, accepted).</w:t>
      </w:r>
    </w:p>
    <w:p>
      <w:pPr>
        <w:spacing w:after="120"/>
      </w:pPr>
      <w:r>
        <w:rPr>
          <w:sz w:val="18"/>
          <w:szCs w:val="18"/>
        </w:rPr>
        <w:t xml:space="preserve">[E2] M. Buczek, Z. Moos, A. Gutsche, S. Menzel, R. Dittmann, Pr1-xCaxMnO3-Based Memristive Heterostructures: Basic Mechanisms and Applications. Chemical Reviews 125, 6156–6202 (2025).</w:t>
      </w:r>
    </w:p>
    <w:p>
      <w:pPr>
        <w:spacing w:after="120"/>
      </w:pPr>
      <w:r>
        <w:rPr>
          <w:sz w:val="18"/>
          <w:szCs w:val="18"/>
        </w:rPr>
        <w:t xml:space="preserve">[E3] M. Buczek et al., Large Area Pulsed Laser Deposition of Memristive Pr0.7Ca0.3MnO3 Heterostructures for Neuromorphic Computing. Thin Solid Films (2024).</w:t>
      </w:r>
    </w:p>
    <w:p>
      <w:pPr>
        <w:spacing w:after="120"/>
      </w:pPr>
      <w:r>
        <w:rPr>
          <w:sz w:val="18"/>
          <w:szCs w:val="18"/>
        </w:rPr>
        <w:t xml:space="preserve">[E4] M. Buczek, [co-authors], W. C. Chueh, [working title: A site-resolved covalency scale for noble-electrode YBa2Cu3O7-δ memristive devices]. Manuscript in preparation (Feodor Lynen fellowship; update status at submission time).</w:t>
      </w:r>
    </w:p>
    <w:p>
      <w:pPr>
        <w:pStyle w:val="Heading1"/>
        <w:spacing w:after="120" w:before="240"/>
      </w:pPr>
      <w:r>
        <w:t xml:space="preserve">Checklist of Further Application Documents (AvH online portal)</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300"/>
        <w:gridCol w:w="5772"/>
      </w:tblGrid>
      <w:tr>
        <w:tc>
          <w:tcPr>
            <w:tcW w:type="dxa" w:w="3300"/>
            <w:shd w:fill="EEF1F5" w:val="clear"/>
            <w:tcMar>
              <w:top w:type="dxa" w:w="50"/>
              <w:left w:type="dxa" w:w="90"/>
              <w:bottom w:type="dxa" w:w="50"/>
              <w:right w:type="dxa" w:w="90"/>
            </w:tcMar>
          </w:tcPr>
          <w:p>
            <w:r>
              <w:rPr>
                <w:b/>
                <w:bCs/>
                <w:sz w:val="19"/>
                <w:szCs w:val="19"/>
              </w:rPr>
              <w:t xml:space="preserve">Document</w:t>
            </w:r>
          </w:p>
        </w:tc>
        <w:tc>
          <w:tcPr>
            <w:tcW w:type="dxa" w:w="5772"/>
            <w:shd w:fill="EEF1F5" w:val="clear"/>
            <w:tcMar>
              <w:top w:type="dxa" w:w="50"/>
              <w:left w:type="dxa" w:w="90"/>
              <w:bottom w:type="dxa" w:w="50"/>
              <w:right w:type="dxa" w:w="90"/>
            </w:tcMar>
          </w:tcPr>
          <w:p>
            <w:r>
              <w:rPr>
                <w:b/>
                <w:bCs/>
                <w:sz w:val="19"/>
                <w:szCs w:val="19"/>
              </w:rPr>
              <w:t xml:space="preserve">Status / note</w:t>
            </w:r>
          </w:p>
        </w:tc>
      </w:tr>
      <w:tr>
        <w:tc>
          <w:tcPr>
            <w:tcW w:type="dxa" w:w="3300"/>
            <w:tcMar>
              <w:top w:type="dxa" w:w="50"/>
              <w:left w:type="dxa" w:w="90"/>
              <w:bottom w:type="dxa" w:w="50"/>
              <w:right w:type="dxa" w:w="90"/>
            </w:tcMar>
          </w:tcPr>
          <w:p>
            <w:r>
              <w:rPr>
                <w:b w:val="false"/>
                <w:bCs w:val="false"/>
                <w:sz w:val="19"/>
                <w:szCs w:val="19"/>
              </w:rPr>
              <w:t xml:space="preserve">Curriculum vitae (max. 2 pages)</w:t>
            </w:r>
          </w:p>
        </w:tc>
        <w:tc>
          <w:tcPr>
            <w:tcW w:type="dxa" w:w="5772"/>
            <w:tcMar>
              <w:top w:type="dxa" w:w="50"/>
              <w:left w:type="dxa" w:w="90"/>
              <w:bottom w:type="dxa" w:w="50"/>
              <w:right w:type="dxa" w:w="90"/>
            </w:tcMar>
          </w:tcPr>
          <w:p>
            <w:r>
              <w:rPr>
                <w:b w:val="false"/>
                <w:bCs w:val="false"/>
                <w:sz w:val="19"/>
                <w:szCs w:val="19"/>
              </w:rPr>
              <w:t xml:space="preserve">Condense from CV_Max_Buczek; focus: doctorate, methodological profile, publications, supervision</w:t>
            </w:r>
          </w:p>
        </w:tc>
      </w:tr>
      <w:tr>
        <w:tc>
          <w:tcPr>
            <w:tcW w:type="dxa" w:w="3300"/>
            <w:tcMar>
              <w:top w:type="dxa" w:w="50"/>
              <w:left w:type="dxa" w:w="90"/>
              <w:bottom w:type="dxa" w:w="50"/>
              <w:right w:type="dxa" w:w="90"/>
            </w:tcMar>
          </w:tcPr>
          <w:p>
            <w:r>
              <w:rPr>
                <w:b w:val="false"/>
                <w:bCs w:val="false"/>
                <w:sz w:val="19"/>
                <w:szCs w:val="19"/>
              </w:rPr>
              <w:t xml:space="preserve">Research proposal (max. 5 pages)</w:t>
            </w:r>
          </w:p>
        </w:tc>
        <w:tc>
          <w:tcPr>
            <w:tcW w:type="dxa" w:w="5772"/>
            <w:tcMar>
              <w:top w:type="dxa" w:w="50"/>
              <w:left w:type="dxa" w:w="90"/>
              <w:bottom w:type="dxa" w:w="50"/>
              <w:right w:type="dxa" w:w="90"/>
            </w:tcMar>
          </w:tcPr>
          <w:p>
            <w:r>
              <w:rPr>
                <w:b w:val="false"/>
                <w:bCs w:val="false"/>
                <w:sz w:val="19"/>
                <w:szCs w:val="19"/>
              </w:rPr>
              <w:t xml:space="preserve">This exposé – coordinate with Prof. Chueh before submission (AvH requirement: independently developed, coordinated with the host)</w:t>
            </w:r>
          </w:p>
        </w:tc>
      </w:tr>
      <w:tr>
        <w:tc>
          <w:tcPr>
            <w:tcW w:type="dxa" w:w="3300"/>
            <w:tcMar>
              <w:top w:type="dxa" w:w="50"/>
              <w:left w:type="dxa" w:w="90"/>
              <w:bottom w:type="dxa" w:w="50"/>
              <w:right w:type="dxa" w:w="90"/>
            </w:tcMar>
          </w:tcPr>
          <w:p>
            <w:r>
              <w:rPr>
                <w:b w:val="false"/>
                <w:bCs w:val="false"/>
                <w:sz w:val="19"/>
                <w:szCs w:val="19"/>
              </w:rPr>
              <w:t xml:space="preserve">Complete list of publications</w:t>
            </w:r>
          </w:p>
        </w:tc>
        <w:tc>
          <w:tcPr>
            <w:tcW w:type="dxa" w:w="5772"/>
            <w:tcMar>
              <w:top w:type="dxa" w:w="50"/>
              <w:left w:type="dxa" w:w="90"/>
              <w:bottom w:type="dxa" w:w="50"/>
              <w:right w:type="dxa" w:w="90"/>
            </w:tcMar>
          </w:tcPr>
          <w:p>
            <w:r>
              <w:rPr>
                <w:b w:val="false"/>
                <w:bCs w:val="false"/>
                <w:sz w:val="19"/>
                <w:szCs w:val="19"/>
              </w:rPr>
              <w:t xml:space="preserve">Incl. conference contributions and patent application</w:t>
            </w:r>
          </w:p>
        </w:tc>
      </w:tr>
      <w:tr>
        <w:tc>
          <w:tcPr>
            <w:tcW w:type="dxa" w:w="3300"/>
            <w:tcMar>
              <w:top w:type="dxa" w:w="50"/>
              <w:left w:type="dxa" w:w="90"/>
              <w:bottom w:type="dxa" w:w="50"/>
              <w:right w:type="dxa" w:w="90"/>
            </w:tcMar>
          </w:tcPr>
          <w:p>
            <w:r>
              <w:rPr>
                <w:b w:val="false"/>
                <w:bCs w:val="false"/>
                <w:sz w:val="19"/>
                <w:szCs w:val="19"/>
              </w:rPr>
              <w:t xml:space="preserve">1–3 key publications with justification</w:t>
            </w:r>
          </w:p>
        </w:tc>
        <w:tc>
          <w:tcPr>
            <w:tcW w:type="dxa" w:w="5772"/>
            <w:tcMar>
              <w:top w:type="dxa" w:w="50"/>
              <w:left w:type="dxa" w:w="90"/>
              <w:bottom w:type="dxa" w:w="50"/>
              <w:right w:type="dxa" w:w="90"/>
            </w:tcMar>
          </w:tcPr>
          <w:p>
            <w:r>
              <w:rPr>
                <w:b w:val="false"/>
                <w:bCs w:val="false"/>
                <w:sz w:val="19"/>
                <w:szCs w:val="19"/>
              </w:rPr>
              <w:t xml:space="preserve">Recommendation: Chem. Rev. 2025 (command of the field, first author), Adv. Electron. Mater. 2026 (device innovation), Thin Solid Films 2024 (PLD methodology)</w:t>
            </w:r>
          </w:p>
        </w:tc>
      </w:tr>
      <w:tr>
        <w:tc>
          <w:tcPr>
            <w:tcW w:type="dxa" w:w="3300"/>
            <w:tcMar>
              <w:top w:type="dxa" w:w="50"/>
              <w:left w:type="dxa" w:w="90"/>
              <w:bottom w:type="dxa" w:w="50"/>
              <w:right w:type="dxa" w:w="90"/>
            </w:tcMar>
          </w:tcPr>
          <w:p>
            <w:r>
              <w:rPr>
                <w:b w:val="false"/>
                <w:bCs w:val="false"/>
                <w:sz w:val="19"/>
                <w:szCs w:val="19"/>
              </w:rPr>
              <w:t xml:space="preserve">Doctoral certificate / proof</w:t>
            </w:r>
          </w:p>
        </w:tc>
        <w:tc>
          <w:tcPr>
            <w:tcW w:type="dxa" w:w="5772"/>
            <w:tcMar>
              <w:top w:type="dxa" w:w="50"/>
              <w:left w:type="dxa" w:w="90"/>
              <w:bottom w:type="dxa" w:w="50"/>
              <w:right w:type="dxa" w:w="90"/>
            </w:tcMar>
          </w:tcPr>
          <w:p>
            <w:r>
              <w:rPr>
                <w:b w:val="false"/>
                <w:bCs w:val="false"/>
                <w:sz w:val="19"/>
                <w:szCs w:val="19"/>
              </w:rPr>
              <w:t xml:space="preserve">If applying before completion: declaration that the dissertation will be submitted within 6 months</w:t>
            </w:r>
          </w:p>
        </w:tc>
      </w:tr>
      <w:tr>
        <w:tc>
          <w:tcPr>
            <w:tcW w:type="dxa" w:w="3300"/>
            <w:tcMar>
              <w:top w:type="dxa" w:w="50"/>
              <w:left w:type="dxa" w:w="90"/>
              <w:bottom w:type="dxa" w:w="50"/>
              <w:right w:type="dxa" w:w="90"/>
            </w:tcMar>
          </w:tcPr>
          <w:p>
            <w:r>
              <w:rPr>
                <w:b w:val="false"/>
                <w:bCs w:val="false"/>
                <w:sz w:val="19"/>
                <w:szCs w:val="19"/>
              </w:rPr>
              <w:t xml:space="preserve">Host’s statement + confirmation of research place</w:t>
            </w:r>
          </w:p>
        </w:tc>
        <w:tc>
          <w:tcPr>
            <w:tcW w:type="dxa" w:w="5772"/>
            <w:tcMar>
              <w:top w:type="dxa" w:w="50"/>
              <w:left w:type="dxa" w:w="90"/>
              <w:bottom w:type="dxa" w:w="50"/>
              <w:right w:type="dxa" w:w="90"/>
            </w:tcMar>
          </w:tcPr>
          <w:p>
            <w:r>
              <w:rPr>
                <w:b w:val="false"/>
                <w:bCs w:val="false"/>
                <w:sz w:val="19"/>
                <w:szCs w:val="19"/>
              </w:rPr>
              <w:t xml:space="preserve">Prof. Chueh uploads directly to the AvH portal; raise the host contribution (approx. 1/3 of the fellowship; USA is a contributing country) early</w:t>
            </w:r>
          </w:p>
        </w:tc>
      </w:tr>
      <w:tr>
        <w:tc>
          <w:tcPr>
            <w:tcW w:type="dxa" w:w="3300"/>
            <w:tcMar>
              <w:top w:type="dxa" w:w="50"/>
              <w:left w:type="dxa" w:w="90"/>
              <w:bottom w:type="dxa" w:w="50"/>
              <w:right w:type="dxa" w:w="90"/>
            </w:tcMar>
          </w:tcPr>
          <w:p>
            <w:r>
              <w:rPr>
                <w:b w:val="false"/>
                <w:bCs w:val="false"/>
                <w:sz w:val="19"/>
                <w:szCs w:val="19"/>
              </w:rPr>
              <w:t xml:space="preserve">Two expert reviews</w:t>
            </w:r>
          </w:p>
        </w:tc>
        <w:tc>
          <w:tcPr>
            <w:tcW w:type="dxa" w:w="5772"/>
            <w:tcMar>
              <w:top w:type="dxa" w:w="50"/>
              <w:left w:type="dxa" w:w="90"/>
              <w:bottom w:type="dxa" w:w="50"/>
              <w:right w:type="dxa" w:w="90"/>
            </w:tcMar>
          </w:tcPr>
          <w:p>
            <w:r>
              <w:rPr>
                <w:b w:val="false"/>
                <w:bCs w:val="false"/>
                <w:sz w:val="19"/>
                <w:szCs w:val="19"/>
              </w:rPr>
              <w:t xml:space="preserve">Recommendation: Prof. R. Dittmann (doctoral supervisor) + one external, preferably international referee</w:t>
            </w:r>
          </w:p>
        </w:tc>
      </w:tr>
    </w:tbl>
    <w:p>
      <w:pPr>
        <w:spacing w:after="120"/>
      </w:pPr>
      <w:r>
        <w:rPr>
          <w:i/>
          <w:iCs/>
          <w:sz w:val="18"/>
          <w:szCs w:val="18"/>
        </w:rPr>
        <w:t xml:space="preserve">Fellowship benefits (as of 2026): base fellowship € 2,187.50/month (minus host contribution) + foreign allowance USA + research cost allowance € 312.50/month + travel lump sums; afterwards optionally the Feodor Lynen Return Fellowship (up to 12 months, € 3,600/month). Applications accepted at any time; selection meetings February/June/October; success rate approx. 40 %.</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2026-08-09T17:57:15.431Z</dcterms:created>
  <dcterms:modified xsi:type="dcterms:W3CDTF">2026-08-09T17:57:15.431Z</dcterms:modified>
</cp:coreProperties>
</file>

<file path=docProps/custom.xml><?xml version="1.0" encoding="utf-8"?>
<Properties xmlns="http://schemas.openxmlformats.org/officeDocument/2006/custom-properties" xmlns:vt="http://schemas.openxmlformats.org/officeDocument/2006/docPropsVTypes"/>
</file>