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rPr>
        <w:t xml:space="preserve">Marie Skłodowska-Curie Actions – Postdoctoral Fellowship (Global Fellowship)</w:t>
      </w:r>
    </w:p>
    <w:p>
      <w:pPr>
        <w:pStyle w:val="Title"/>
      </w:pPr>
      <w:r>
        <w:t xml:space="preserve">Covalency as an Experimental Descriptor of Memristive Switching: the YBa2Cu3O7-δ Chain-Oxygen Series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400"/>
        <w:gridCol w:w="6672"/>
      </w:tblGrid>
      <w:tr>
        <w:tc>
          <w:tcPr>
            <w:tcW w:type="dxa" w:w="2400"/>
            <w:shd w:fill="EEF1F5" w:val="clear"/>
            <w:tcMar>
              <w:top w:type="dxa" w:w="50"/>
              <w:left w:type="dxa" w:w="90"/>
              <w:bottom w:type="dxa" w:w="50"/>
              <w:right w:type="dxa" w:w="90"/>
            </w:tcMar>
          </w:tcPr>
          <w:p>
            <w:r>
              <w:rPr>
                <w:b/>
                <w:bCs/>
                <w:sz w:val="19"/>
                <w:szCs w:val="19"/>
              </w:rPr>
              <w:t xml:space="preserve">Applicant</w:t>
            </w:r>
          </w:p>
        </w:tc>
        <w:tc>
          <w:tcPr>
            <w:tcW w:type="dxa" w:w="6672"/>
            <w:tcMar>
              <w:top w:type="dxa" w:w="50"/>
              <w:left w:type="dxa" w:w="90"/>
              <w:bottom w:type="dxa" w:w="50"/>
              <w:right w:type="dxa" w:w="90"/>
            </w:tcMar>
          </w:tcPr>
          <w:p>
            <w:r>
              <w:rPr>
                <w:b w:val="false"/>
                <w:bCs w:val="false"/>
                <w:sz w:val="19"/>
                <w:szCs w:val="19"/>
              </w:rPr>
              <w:t xml:space="preserve">Dr. Max Buczek, Postdoctoral Researcher, Peter Grünberg Institute (PGI-7), Forschungszentrum Jülich, Germany</w:t>
            </w:r>
          </w:p>
        </w:tc>
      </w:tr>
      <w:tr>
        <w:tc>
          <w:tcPr>
            <w:tcW w:type="dxa" w:w="2400"/>
            <w:shd w:fill="EEF1F5" w:val="clear"/>
            <w:tcMar>
              <w:top w:type="dxa" w:w="50"/>
              <w:left w:type="dxa" w:w="90"/>
              <w:bottom w:type="dxa" w:w="50"/>
              <w:right w:type="dxa" w:w="90"/>
            </w:tcMar>
          </w:tcPr>
          <w:p>
            <w:r>
              <w:rPr>
                <w:b/>
                <w:bCs/>
                <w:sz w:val="19"/>
                <w:szCs w:val="19"/>
              </w:rPr>
              <w:t xml:space="preserve">Host abroad</w:t>
            </w:r>
          </w:p>
        </w:tc>
        <w:tc>
          <w:tcPr>
            <w:tcW w:type="dxa" w:w="6672"/>
            <w:tcMar>
              <w:top w:type="dxa" w:w="50"/>
              <w:left w:type="dxa" w:w="90"/>
              <w:bottom w:type="dxa" w:w="50"/>
              <w:right w:type="dxa" w:w="90"/>
            </w:tcMar>
          </w:tcPr>
          <w:p>
            <w:r>
              <w:rPr>
                <w:b w:val="false"/>
                <w:bCs w:val="false"/>
                <w:sz w:val="19"/>
                <w:szCs w:val="19"/>
              </w:rPr>
              <w:t xml:space="preserve">Prof. Dr. William C. Chueh, Department of Materials Science and Engineering, Stanford University, USA (Stanford Synchrotron Radiation Lightsource, SSRL)</w:t>
            </w:r>
          </w:p>
        </w:tc>
      </w:tr>
      <w:tr>
        <w:tc>
          <w:tcPr>
            <w:tcW w:type="dxa" w:w="2400"/>
            <w:shd w:fill="EEF1F5" w:val="clear"/>
            <w:tcMar>
              <w:top w:type="dxa" w:w="50"/>
              <w:left w:type="dxa" w:w="90"/>
              <w:bottom w:type="dxa" w:w="50"/>
              <w:right w:type="dxa" w:w="90"/>
            </w:tcMar>
          </w:tcPr>
          <w:p>
            <w:r>
              <w:rPr>
                <w:b/>
                <w:bCs/>
                <w:sz w:val="19"/>
                <w:szCs w:val="19"/>
              </w:rPr>
              <w:t xml:space="preserve">German / European host</w:t>
            </w:r>
          </w:p>
        </w:tc>
        <w:tc>
          <w:tcPr>
            <w:tcW w:type="dxa" w:w="6672"/>
            <w:tcMar>
              <w:top w:type="dxa" w:w="50"/>
              <w:left w:type="dxa" w:w="90"/>
              <w:bottom w:type="dxa" w:w="50"/>
              <w:right w:type="dxa" w:w="90"/>
            </w:tcMar>
          </w:tcPr>
          <w:p>
            <w:r>
              <w:rPr>
                <w:b w:val="false"/>
                <w:bCs w:val="false"/>
                <w:sz w:val="19"/>
                <w:szCs w:val="19"/>
              </w:rPr>
              <w:t xml:space="preserve">[RWTH Aachen University or Forschungszentrum Jülich – to be fixed; hosts the return/reintegration phase where applicable]</w:t>
            </w:r>
          </w:p>
        </w:tc>
      </w:tr>
      <w:tr>
        <w:tc>
          <w:tcPr>
            <w:tcW w:type="dxa" w:w="2400"/>
            <w:shd w:fill="EEF1F5" w:val="clear"/>
            <w:tcMar>
              <w:top w:type="dxa" w:w="50"/>
              <w:left w:type="dxa" w:w="90"/>
              <w:bottom w:type="dxa" w:w="50"/>
              <w:right w:type="dxa" w:w="90"/>
            </w:tcMar>
          </w:tcPr>
          <w:p>
            <w:r>
              <w:rPr>
                <w:b/>
                <w:bCs/>
                <w:sz w:val="19"/>
                <w:szCs w:val="19"/>
              </w:rPr>
              <w:t xml:space="preserve">Duration</w:t>
            </w:r>
          </w:p>
        </w:tc>
        <w:tc>
          <w:tcPr>
            <w:tcW w:type="dxa" w:w="6672"/>
            <w:tcMar>
              <w:top w:type="dxa" w:w="50"/>
              <w:left w:type="dxa" w:w="90"/>
              <w:bottom w:type="dxa" w:w="50"/>
              <w:right w:type="dxa" w:w="90"/>
            </w:tcMar>
          </w:tcPr>
          <w:p>
            <w:r>
              <w:rPr>
                <w:b w:val="false"/>
                <w:bCs w:val="false"/>
                <w:sz w:val="19"/>
                <w:szCs w:val="19"/>
              </w:rPr>
              <w:t xml:space="preserve">36 months (24 outgoing + 12 return)</w:t>
            </w:r>
          </w:p>
        </w:tc>
      </w:tr>
      <w:tr>
        <w:tc>
          <w:tcPr>
            <w:tcW w:type="dxa" w:w="2400"/>
            <w:shd w:fill="EEF1F5" w:val="clear"/>
            <w:tcMar>
              <w:top w:type="dxa" w:w="50"/>
              <w:left w:type="dxa" w:w="90"/>
              <w:bottom w:type="dxa" w:w="50"/>
              <w:right w:type="dxa" w:w="90"/>
            </w:tcMar>
          </w:tcPr>
          <w:p>
            <w:r>
              <w:rPr>
                <w:b/>
                <w:bCs/>
                <w:sz w:val="19"/>
                <w:szCs w:val="19"/>
              </w:rPr>
              <w:t xml:space="preserve">Format</w:t>
            </w:r>
          </w:p>
        </w:tc>
        <w:tc>
          <w:tcPr>
            <w:tcW w:type="dxa" w:w="6672"/>
            <w:tcMar>
              <w:top w:type="dxa" w:w="50"/>
              <w:left w:type="dxa" w:w="90"/>
              <w:bottom w:type="dxa" w:w="50"/>
              <w:right w:type="dxa" w:w="90"/>
            </w:tcMar>
          </w:tcPr>
          <w:p>
            <w:r>
              <w:rPr>
                <w:b w:val="false"/>
                <w:bCs w:val="false"/>
                <w:sz w:val="19"/>
                <w:szCs w:val="19"/>
              </w:rPr>
              <w:t xml:space="preserve">Global Postdoctoral Fellowship: 24-month outgoing phase at Stanford University / SLAC (third country) + mandatory 12-month return phase at the European host [FZ Jülich or RWTH Aachen as applicant/beneficiary organisation]</w:t>
            </w:r>
          </w:p>
        </w:tc>
      </w:tr>
      <w:tr>
        <w:tc>
          <w:tcPr>
            <w:tcW w:type="dxa" w:w="2400"/>
            <w:shd w:fill="EEF1F5" w:val="clear"/>
            <w:tcMar>
              <w:top w:type="dxa" w:w="50"/>
              <w:left w:type="dxa" w:w="90"/>
              <w:bottom w:type="dxa" w:w="50"/>
              <w:right w:type="dxa" w:w="90"/>
            </w:tcMar>
          </w:tcPr>
          <w:p>
            <w:r>
              <w:rPr>
                <w:b/>
                <w:bCs/>
                <w:sz w:val="19"/>
                <w:szCs w:val="19"/>
              </w:rPr>
              <w:t xml:space="preserve">Funding</w:t>
            </w:r>
          </w:p>
        </w:tc>
        <w:tc>
          <w:tcPr>
            <w:tcW w:type="dxa" w:w="6672"/>
            <w:tcMar>
              <w:top w:type="dxa" w:w="50"/>
              <w:left w:type="dxa" w:w="90"/>
              <w:bottom w:type="dxa" w:w="50"/>
              <w:right w:type="dxa" w:w="90"/>
            </w:tcMar>
          </w:tcPr>
          <w:p>
            <w:r>
              <w:rPr>
                <w:b w:val="false"/>
                <w:bCs w:val="false"/>
                <w:sz w:val="19"/>
                <w:szCs w:val="19"/>
              </w:rPr>
              <w:t xml:space="preserve">Horizon Europe unit costs: living, mobility and (if applicable) family allowances, country-corrected [insert current rates]</w:t>
            </w:r>
          </w:p>
        </w:tc>
      </w:tr>
      <w:tr>
        <w:tc>
          <w:tcPr>
            <w:tcW w:type="dxa" w:w="2400"/>
            <w:shd w:fill="EEF1F5" w:val="clear"/>
            <w:tcMar>
              <w:top w:type="dxa" w:w="50"/>
              <w:left w:type="dxa" w:w="90"/>
              <w:bottom w:type="dxa" w:w="50"/>
              <w:right w:type="dxa" w:w="90"/>
            </w:tcMar>
          </w:tcPr>
          <w:p>
            <w:r>
              <w:rPr>
                <w:b/>
                <w:bCs/>
                <w:sz w:val="19"/>
                <w:szCs w:val="19"/>
              </w:rPr>
              <w:t xml:space="preserve">Eligibility</w:t>
            </w:r>
          </w:p>
        </w:tc>
        <w:tc>
          <w:tcPr>
            <w:tcW w:type="dxa" w:w="6672"/>
            <w:tcMar>
              <w:top w:type="dxa" w:w="50"/>
              <w:left w:type="dxa" w:w="90"/>
              <w:bottom w:type="dxa" w:w="50"/>
              <w:right w:type="dxa" w:w="90"/>
            </w:tcMar>
          </w:tcPr>
          <w:p>
            <w:r>
              <w:rPr>
                <w:b w:val="false"/>
                <w:bCs w:val="false"/>
                <w:sz w:val="19"/>
                <w:szCs w:val="19"/>
              </w:rPr>
              <w:t xml:space="preserve">PhD ≤ 8 years at call deadline; MSCA mobility rule for the outgoing host country (max. 12 months in the USA within the 36 months before the deadline) [verify against personal record]</w:t>
            </w:r>
          </w:p>
        </w:tc>
      </w:tr>
      <w:tr>
        <w:tc>
          <w:tcPr>
            <w:tcW w:type="dxa" w:w="2400"/>
            <w:shd w:fill="EEF1F5" w:val="clear"/>
            <w:tcMar>
              <w:top w:type="dxa" w:w="50"/>
              <w:left w:type="dxa" w:w="90"/>
              <w:bottom w:type="dxa" w:w="50"/>
              <w:right w:type="dxa" w:w="90"/>
            </w:tcMar>
          </w:tcPr>
          <w:p>
            <w:r>
              <w:rPr>
                <w:b/>
                <w:bCs/>
                <w:sz w:val="19"/>
                <w:szCs w:val="19"/>
              </w:rPr>
              <w:t xml:space="preserve">Application</w:t>
            </w:r>
          </w:p>
        </w:tc>
        <w:tc>
          <w:tcPr>
            <w:tcW w:type="dxa" w:w="6672"/>
            <w:tcMar>
              <w:top w:type="dxa" w:w="50"/>
              <w:left w:type="dxa" w:w="90"/>
              <w:bottom w:type="dxa" w:w="50"/>
              <w:right w:type="dxa" w:w="90"/>
            </w:tcMar>
          </w:tcPr>
          <w:p>
            <w:r>
              <w:rPr>
                <w:b w:val="false"/>
                <w:bCs w:val="false"/>
                <w:sz w:val="19"/>
                <w:szCs w:val="19"/>
              </w:rPr>
              <w:t xml:space="preserve">Annual single-stage call [insert current deadline, typically September], submitted by the European host institution</w:t>
            </w:r>
          </w:p>
        </w:tc>
      </w:tr>
      <w:tr>
        <w:tc>
          <w:tcPr>
            <w:tcW w:type="dxa" w:w="2400"/>
            <w:shd w:fill="EEF1F5" w:val="clear"/>
            <w:tcMar>
              <w:top w:type="dxa" w:w="50"/>
              <w:left w:type="dxa" w:w="90"/>
              <w:bottom w:type="dxa" w:w="50"/>
              <w:right w:type="dxa" w:w="90"/>
            </w:tcMar>
          </w:tcPr>
          <w:p>
            <w:r>
              <w:rPr>
                <w:b/>
                <w:bCs/>
                <w:sz w:val="19"/>
                <w:szCs w:val="19"/>
              </w:rPr>
              <w:t xml:space="preserve">Special feature</w:t>
            </w:r>
          </w:p>
        </w:tc>
        <w:tc>
          <w:tcPr>
            <w:tcW w:type="dxa" w:w="6672"/>
            <w:tcMar>
              <w:top w:type="dxa" w:w="50"/>
              <w:left w:type="dxa" w:w="90"/>
              <w:bottom w:type="dxa" w:w="50"/>
              <w:right w:type="dxa" w:w="90"/>
            </w:tcMar>
          </w:tcPr>
          <w:p>
            <w:r>
              <w:rPr>
                <w:b w:val="false"/>
                <w:bCs w:val="false"/>
                <w:sz w:val="19"/>
                <w:szCs w:val="19"/>
              </w:rPr>
              <w:t xml:space="preserve">Explicit training, supervision and two-way knowledge-transfer requirements; funded 12-month return phase</w:t>
            </w:r>
          </w:p>
        </w:tc>
      </w:tr>
    </w:tbl>
    <w:p>
      <w:pPr>
        <w:spacing w:after="120"/>
      </w:pPr>
      <w:r>
        <w:rPr>
          <w:i/>
          <w:iCs/>
          <w:sz w:val="18"/>
          <w:szCs w:val="18"/>
        </w:rPr>
        <w:t xml:space="preserve">Standalone draft proposal for this funding line (status 09.08.2026). Only one of the parallel programme drafts of this folder will be pursued for the research stay – check each funder’s double-funding rules before submission. Materials selection follows the portfolio’s three-criterion evidence logic; all cited references are individually verified against publisher records (see Literaturpruefung_2026-08-09 and Materialscreening_2026-08-09).</w:t>
      </w:r>
    </w:p>
    <w:p>
      <w:pPr>
        <w:pStyle w:val="Heading1"/>
        <w:spacing w:after="120" w:before="240"/>
      </w:pPr>
      <w:r>
        <w:t xml:space="preserve">1  Research question and scientific significance</w:t>
      </w:r>
    </w:p>
    <w:p>
      <w:pPr>
        <w:spacing w:after="120"/>
      </w:pPr>
      <w:r>
        <w:t xml:space="preserve">Memristive devices based on the valence change mechanism switch their resistance through field-driven redistribution of oxygen defects [1–3], with the oxygen-defect formation energy entering all quantitative models exponentially [3, 4]. Energy research has established the metal–oxygen covalency as the controlling descriptor of this energy [5–8] – but the experimental test of this link in memristive devices is missing. My project performs this test on YBa2Cu3O7-δ (YBCO): the one oxide outside the perovskite manganite/ferrite families in which all three evidence pillars of a clean descriptor study already coexist.</w:t>
      </w:r>
    </w:p>
    <w:p>
      <w:pPr>
        <w:spacing w:after="120"/>
      </w:pPr>
      <w:r>
        <w:t xml:space="preserve">(i) Covalency vs. stoichiometry is measured with unmatched precision: the site-specific, polarisation-resolved O-1s/Cu-2p XAS of YBCO resolves the doped-hole count separately for the CuO2 planes, the CuO chains and the apical oxygen as a function of oxygen content δ and cation doping [9, 10] – a level of spectroscopic resolution no perovskite series offers. The chain-oxygen content δ is continuously and reversibly tunable between 6.0 and 7.0 by annealing, making it an exceptionally fine stoichiometry axis. (ii) EV vs. site and stoichiometry is computed: DFT point-defect studies give site-resolved vacancy formation energies (chain ≈ 1.2 eV vs. plane ≈ 2.1 eV in YBa2Cu3O6.5) that depend on the oxygen content itself [14, 15]. (iii) Switching at noble interfaces is established and replicated: Au/YBCO/Au cells switch bipolar and non-volatile via interfacial oxygen-vacancy migration [11], with recent replications and mechanistic extensions from 80 to 300 K [12, 13]. The gap: all published devices are ceramic; no epitaxial, δ-controlled, statistically robust device series with simultaneous XAS covalency quantification exists. My central hypothesis: the switching figures of merit of Au/YBCO devices scale with the chain-hole covalency measured by site-resolved XAS – making YBCO the sharpest single-material test of the descriptor chain and, at the same time, the first extension of the planned “treasure map” beyond the perovskite structure family.</w:t>
      </w:r>
    </w:p>
    <w:p>
      <w:pPr>
        <w:spacing w:after="120"/>
      </w:pPr>
      <w:r>
        <w:t xml:space="preserve">Design constraints are addressed openly: below Tc ≈ 93 K superconductivity takes over (all device metrology therefore runs at ≥ 100 K and room temperature), and the ortho-ordering kinetics of the chain oxygen add a slow structural relaxation that is monitored by XRD. Both are charted boundaries, not confounders of the room-temperature descriptor study.</w:t>
      </w:r>
    </w:p>
    <w:p>
      <w:pPr>
        <w:spacing w:after="120"/>
      </w:pPr>
      <w:r>
        <w:t xml:space="preserve">Conceptual footing (sharpened after expert feedback, 08/2026): throughout this project, “covalency” is used in the quantitative sense of the charge-transfer/cluster-model framework – charge-transfer energy Δ, on-site Coulomb energy U and transfer integrals, in the Zaanen–Sawatzky–Allen classification [22] and as extracted compound by compound by the configuration-interaction analyses of Fujimori, Bocquet, Saitoh, Sarma and co-workers [23–26]. O-K pre-edge intensities serve as a relative, series-internal hybridisation measure only; their limits as an absolute covalency scale (core-hole effects, ligand-hole distribution, band effects) are treated explicitly [27], and the conflation of hybridisation with covalency that is common in the catalysis-descriptor literature is deliberately avoided – the descriptor scale of this project is calibrated against cluster-model analysis, not against pre-edge intensity alone. System-specific parameter status (re-screening, 09.08.2026): the CuO2-plane parameter set (Δ, Udd, tpd) is cross-validated by several independent CI analyses [28, 29]; a δ-resolved, chain/plane-separated extraction for YBCO is thin and methodologically contested – non-local screening distorts single-impurity fits [30] – which is precisely the refinement this project’s site-resolved XAS series enables.</w:t>
      </w:r>
    </w:p>
    <w:p>
      <w:pPr>
        <w:pStyle w:val="Heading1"/>
        <w:spacing w:after="120" w:before="240"/>
      </w:pPr>
      <w:r>
        <w:t xml:space="preserve">2  Programme fit and strategy</w:t>
      </w:r>
    </w:p>
    <w:p>
      <w:pPr>
        <w:spacing w:after="120"/>
      </w:pPr>
      <w:r>
        <w:t xml:space="preserve">The MSCA Global Fellowship funds the project as a 24-month outgoing phase at Stanford plus a mandatory, funded 12-month return phase at the European host. The return phase institutionalises exactly what the planned group programme needs: transfer of the SSRL-proven XAS protocols to European beamlines, integration of the descriptor dataset into the map, and preparation of the ERC/Emmy Noether bid. MSCA-specific proposal sections (training objectives, supervision arrangement between Prof. Chueh and the German host, dissemination and exploitation plan, two-way transfer of knowledge) must be completed per the current template.</w:t>
      </w:r>
    </w:p>
    <w:p>
      <w:pPr>
        <w:pStyle w:val="Heading1"/>
        <w:spacing w:after="120" w:before="240"/>
      </w:pPr>
      <w:r>
        <w:t xml:space="preserve">3  Why the Chueh group at Stanford is the ideal place</w:t>
      </w:r>
    </w:p>
    <w:p>
      <w:pPr>
        <w:spacing w:after="120"/>
      </w:pPr>
      <w:r>
        <w:t xml:space="preserve">The group of Prof. William Chueh is a world leader in exactly the combination this project requires: defect chemistry and non-stoichiometry of redox-active oxides, quantitative operando X-ray absorption spectroscopy at the in-house Stanford Synchrotron Radiation Lightsource (SSRL), and redox chemistry of epitaxial oxide thin films [18–20]. The group’s seminal work on the redox activity of oxygen anions in oxygen-deficient perovskites [19] is a direct methodological blueprint for my project; the Nature Materials study on atomically defined LaNiO3 surfaces [20] – with Christoph Baeumer from the Jülich school as first author – furthermore demonstrates that the group routinely masters epitaxial oxide model systems of the type proposed here and successfully integrates German postdocs. Direct SSRL access makes XAS campaigns plannable that in Europe cost months of lead time through competitive single proposals. Complementarily, I contribute the device side, from which the Stanford environment profits in turn: PLD process development, memristive device processing and statistically robust switching characterisation from five years at the Peter Grünberg Institute (PGI-7, group of Prof. Dittmann) [E1–E3]. The constellation is thus a genuine two-way transfer of knowledge. For complementary epitaxial growth questions, the environment of the Stanford Institute for Materials and Energy Sciences (SIMES) at SLAC is available. [Host choice under review after first-hand feedback (08/2026): the Chueh group’s own perovskite/oxide-redox activities have largely moved on; the relevant lines are continued in alumni groups – C. Baeumer (University of Twente), Q. Lu (Westlake University), J. T. Mefford, D. Chen. If XAS quantification is the methodological core, a host with direct synchrotron access (e.g. PSI/SLS, MAX IV, Diamond, or a beamline-affiliated group) is a serious alternative. Re-validate and, if necessary, rewrite this section before submission.]</w:t>
      </w:r>
    </w:p>
    <w:p>
      <w:pPr>
        <w:pStyle w:val="Heading1"/>
        <w:spacing w:after="120" w:before="240"/>
      </w:pPr>
      <w:r>
        <w:t xml:space="preserve">4  Work programme</w:t>
      </w:r>
    </w:p>
    <w:p>
      <w:pPr>
        <w:spacing w:after="120"/>
      </w:pPr>
      <w:r>
        <w:rPr>
          <w:b/>
          <w:bCs/>
        </w:rPr>
        <w:t xml:space="preserve">WP1 – Synthesis and descriptor measurement (months 1–10, Stanford)</w:t>
      </w:r>
    </w:p>
    <w:p>
      <w:pPr>
        <w:spacing w:after="120"/>
      </w:pPr>
      <w:r>
        <w:t xml:space="preserve">PLD growth of epitaxial YBCO films on SrTiO3 and NdGaO3 in the Stanford/SLAC thin-film laboratories; δ-series (six oxygen contents between O6.4 and O7.0) set by controlled p(O2) annealing, verified by c-axis XRD and transport; structural validation (XRD/RSM, AFM). In parallel, first XAS campaign at SSRL: site-resolved O-K pre-edge quantification (plane/chain/apex following [9, 10]) and Cu-L2,3 valence analysis for every δ → experimental covalency scale of the series. Milestone M1 (month 10): validated δ-series with complete site-resolved descriptor set.</w:t>
      </w:r>
    </w:p>
    <w:p>
      <w:pPr>
        <w:spacing w:after="120"/>
      </w:pPr>
      <w:r>
        <w:rPr>
          <w:b/>
          <w:bCs/>
        </w:rPr>
        <w:t xml:space="preserve">WP2 – Devices and switching characterisation (months 8–18, Stanford)</w:t>
      </w:r>
    </w:p>
    <w:p>
      <w:pPr>
        <w:spacing w:after="120"/>
      </w:pPr>
      <w:r>
        <w:t xml:space="preserve">Au-active pads (replicating the proven noble-contact geometry [11–13]) and Pt pads as second inert flavour, processed photolithographically with ≥ 30 nominally identical cells per δ; quasistatic and pulsed characterisation at 100–300 K under the statistics protocol established in my doctorate (ON/OFF, forming requirement, kinetics, retention, endurance). Milestone M2 (month 18): switching figures of merit as a function of δ, in epitaxial cells, with robust statistics – the first non-ceramic Au/YBCO device series.</w:t>
      </w:r>
    </w:p>
    <w:p>
      <w:pPr>
        <w:spacing w:after="120"/>
      </w:pPr>
      <w:r>
        <w:rPr>
          <w:b/>
          <w:bCs/>
        </w:rPr>
        <w:t xml:space="preserve">WP3 – Correlation, operando validation and publication (months 16–24, Stanford)</w:t>
      </w:r>
    </w:p>
    <w:p>
      <w:pPr>
        <w:spacing w:after="120"/>
      </w:pPr>
      <w:r>
        <w:t xml:space="preserve">Correlation analysis site-resolved covalency (XAS) ↔ site-resolved EV (DFT [14, 15]) ↔ switching metrics; test of the chain-hole hypothesis. Second SSRL campaign: XAS on switched cells (ex-situ before/after, operando if successful) to verify δ-dependent VO dynamics at the Au interface. Publication of the first covalency-resolved cuprate memristor study; dataset released following FAIR principles. Milestone M3 (month 24): submitted publication(s), public dataset.</w:t>
      </w:r>
    </w:p>
    <w:p>
      <w:pPr>
        <w:spacing w:after="120"/>
      </w:pPr>
      <w:r>
        <w:rPr>
          <w:b/>
          <w:bCs/>
        </w:rPr>
        <w:t xml:space="preserve">WP4 – Return phase: European transfer and map integration (months 25–36, [RWTH Aachen / FZ Jülich])</w:t>
      </w:r>
    </w:p>
    <w:p>
      <w:pPr>
        <w:spacing w:after="120"/>
      </w:pPr>
      <w:r>
        <w:t xml:space="preserve">European beamline campaigns (BESSY II/PETRA III) transferring the SSRL-proven XAS protocols; cross-class integration of the descriptor dataset into the map; publication of the extended dataset; preparation and submission of the junior-group proposal (Emmy Noether/ERC); supervision and training plan per MSCA rules spanning both phases. Milestone M4 (month 36): map integration complete, group proposal submitted.</w:t>
      </w:r>
    </w:p>
    <w:p>
      <w:pPr>
        <w:pStyle w:val="Heading1"/>
        <w:spacing w:after="120" w:before="240"/>
      </w:pPr>
      <w:r>
        <w:t xml:space="preserve">5  Timeline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412"/>
        <w:gridCol w:w="555"/>
        <w:gridCol w:w="555"/>
        <w:gridCol w:w="555"/>
        <w:gridCol w:w="555"/>
        <w:gridCol w:w="555"/>
        <w:gridCol w:w="555"/>
        <w:gridCol w:w="555"/>
        <w:gridCol w:w="555"/>
        <w:gridCol w:w="555"/>
        <w:gridCol w:w="555"/>
        <w:gridCol w:w="555"/>
        <w:gridCol w:w="555"/>
      </w:tblGrid>
      <w:tr>
        <w:tc>
          <w:tcPr>
            <w:tcW w:type="dxa" w:w="2412"/>
            <w:shd w:fill="EEF1F5" w:val="clear"/>
            <w:tcMar>
              <w:top w:type="dxa" w:w="50"/>
              <w:left w:type="dxa" w:w="90"/>
              <w:bottom w:type="dxa" w:w="50"/>
              <w:right w:type="dxa" w:w="90"/>
            </w:tcMar>
          </w:tcPr>
          <w:p>
            <w:r>
              <w:rPr>
                <w:b/>
                <w:bCs/>
                <w:sz w:val="19"/>
                <w:szCs w:val="19"/>
              </w:rPr>
              <w:t xml:space="preserve">Work package</w:t>
            </w:r>
          </w:p>
        </w:tc>
        <w:tc>
          <w:tcPr>
            <w:tcW w:type="dxa" w:w="555"/>
            <w:shd w:fill="EEF1F5" w:val="clear"/>
            <w:tcMar>
              <w:top w:type="dxa" w:w="50"/>
              <w:left w:type="dxa" w:w="90"/>
              <w:bottom w:type="dxa" w:w="50"/>
              <w:right w:type="dxa" w:w="90"/>
            </w:tcMar>
          </w:tcPr>
          <w:p>
            <w:r>
              <w:rPr>
                <w:b/>
                <w:bCs/>
                <w:sz w:val="19"/>
                <w:szCs w:val="19"/>
              </w:rPr>
              <w:t xml:space="preserve">Q1</w:t>
            </w:r>
          </w:p>
        </w:tc>
        <w:tc>
          <w:tcPr>
            <w:tcW w:type="dxa" w:w="555"/>
            <w:shd w:fill="EEF1F5" w:val="clear"/>
            <w:tcMar>
              <w:top w:type="dxa" w:w="50"/>
              <w:left w:type="dxa" w:w="90"/>
              <w:bottom w:type="dxa" w:w="50"/>
              <w:right w:type="dxa" w:w="90"/>
            </w:tcMar>
          </w:tcPr>
          <w:p>
            <w:r>
              <w:rPr>
                <w:b/>
                <w:bCs/>
                <w:sz w:val="19"/>
                <w:szCs w:val="19"/>
              </w:rPr>
              <w:t xml:space="preserve">Q2</w:t>
            </w:r>
          </w:p>
        </w:tc>
        <w:tc>
          <w:tcPr>
            <w:tcW w:type="dxa" w:w="555"/>
            <w:shd w:fill="EEF1F5" w:val="clear"/>
            <w:tcMar>
              <w:top w:type="dxa" w:w="50"/>
              <w:left w:type="dxa" w:w="90"/>
              <w:bottom w:type="dxa" w:w="50"/>
              <w:right w:type="dxa" w:w="90"/>
            </w:tcMar>
          </w:tcPr>
          <w:p>
            <w:r>
              <w:rPr>
                <w:b/>
                <w:bCs/>
                <w:sz w:val="19"/>
                <w:szCs w:val="19"/>
              </w:rPr>
              <w:t xml:space="preserve">Q3</w:t>
            </w:r>
          </w:p>
        </w:tc>
        <w:tc>
          <w:tcPr>
            <w:tcW w:type="dxa" w:w="555"/>
            <w:shd w:fill="EEF1F5" w:val="clear"/>
            <w:tcMar>
              <w:top w:type="dxa" w:w="50"/>
              <w:left w:type="dxa" w:w="90"/>
              <w:bottom w:type="dxa" w:w="50"/>
              <w:right w:type="dxa" w:w="90"/>
            </w:tcMar>
          </w:tcPr>
          <w:p>
            <w:r>
              <w:rPr>
                <w:b/>
                <w:bCs/>
                <w:sz w:val="19"/>
                <w:szCs w:val="19"/>
              </w:rPr>
              <w:t xml:space="preserve">Q4</w:t>
            </w:r>
          </w:p>
        </w:tc>
        <w:tc>
          <w:tcPr>
            <w:tcW w:type="dxa" w:w="555"/>
            <w:shd w:fill="EEF1F5" w:val="clear"/>
            <w:tcMar>
              <w:top w:type="dxa" w:w="50"/>
              <w:left w:type="dxa" w:w="90"/>
              <w:bottom w:type="dxa" w:w="50"/>
              <w:right w:type="dxa" w:w="90"/>
            </w:tcMar>
          </w:tcPr>
          <w:p>
            <w:r>
              <w:rPr>
                <w:b/>
                <w:bCs/>
                <w:sz w:val="19"/>
                <w:szCs w:val="19"/>
              </w:rPr>
              <w:t xml:space="preserve">Q5</w:t>
            </w:r>
          </w:p>
        </w:tc>
        <w:tc>
          <w:tcPr>
            <w:tcW w:type="dxa" w:w="555"/>
            <w:shd w:fill="EEF1F5" w:val="clear"/>
            <w:tcMar>
              <w:top w:type="dxa" w:w="50"/>
              <w:left w:type="dxa" w:w="90"/>
              <w:bottom w:type="dxa" w:w="50"/>
              <w:right w:type="dxa" w:w="90"/>
            </w:tcMar>
          </w:tcPr>
          <w:p>
            <w:r>
              <w:rPr>
                <w:b/>
                <w:bCs/>
                <w:sz w:val="19"/>
                <w:szCs w:val="19"/>
              </w:rPr>
              <w:t xml:space="preserve">Q6</w:t>
            </w:r>
          </w:p>
        </w:tc>
        <w:tc>
          <w:tcPr>
            <w:tcW w:type="dxa" w:w="555"/>
            <w:shd w:fill="EEF1F5" w:val="clear"/>
            <w:tcMar>
              <w:top w:type="dxa" w:w="50"/>
              <w:left w:type="dxa" w:w="90"/>
              <w:bottom w:type="dxa" w:w="50"/>
              <w:right w:type="dxa" w:w="90"/>
            </w:tcMar>
          </w:tcPr>
          <w:p>
            <w:r>
              <w:rPr>
                <w:b/>
                <w:bCs/>
                <w:sz w:val="19"/>
                <w:szCs w:val="19"/>
              </w:rPr>
              <w:t xml:space="preserve">Q7</w:t>
            </w:r>
          </w:p>
        </w:tc>
        <w:tc>
          <w:tcPr>
            <w:tcW w:type="dxa" w:w="555"/>
            <w:shd w:fill="EEF1F5" w:val="clear"/>
            <w:tcMar>
              <w:top w:type="dxa" w:w="50"/>
              <w:left w:type="dxa" w:w="90"/>
              <w:bottom w:type="dxa" w:w="50"/>
              <w:right w:type="dxa" w:w="90"/>
            </w:tcMar>
          </w:tcPr>
          <w:p>
            <w:r>
              <w:rPr>
                <w:b/>
                <w:bCs/>
                <w:sz w:val="19"/>
                <w:szCs w:val="19"/>
              </w:rPr>
              <w:t xml:space="preserve">Q8</w:t>
            </w:r>
          </w:p>
        </w:tc>
        <w:tc>
          <w:tcPr>
            <w:tcW w:type="dxa" w:w="555"/>
            <w:shd w:fill="EEF1F5" w:val="clear"/>
            <w:tcMar>
              <w:top w:type="dxa" w:w="50"/>
              <w:left w:type="dxa" w:w="90"/>
              <w:bottom w:type="dxa" w:w="50"/>
              <w:right w:type="dxa" w:w="90"/>
            </w:tcMar>
          </w:tcPr>
          <w:p>
            <w:r>
              <w:rPr>
                <w:b/>
                <w:bCs/>
                <w:sz w:val="19"/>
                <w:szCs w:val="19"/>
              </w:rPr>
              <w:t xml:space="preserve">Q9</w:t>
            </w:r>
          </w:p>
        </w:tc>
        <w:tc>
          <w:tcPr>
            <w:tcW w:type="dxa" w:w="555"/>
            <w:shd w:fill="EEF1F5" w:val="clear"/>
            <w:tcMar>
              <w:top w:type="dxa" w:w="50"/>
              <w:left w:type="dxa" w:w="90"/>
              <w:bottom w:type="dxa" w:w="50"/>
              <w:right w:type="dxa" w:w="90"/>
            </w:tcMar>
          </w:tcPr>
          <w:p>
            <w:r>
              <w:rPr>
                <w:b/>
                <w:bCs/>
                <w:sz w:val="19"/>
                <w:szCs w:val="19"/>
              </w:rPr>
              <w:t xml:space="preserve">Q10</w:t>
            </w:r>
          </w:p>
        </w:tc>
        <w:tc>
          <w:tcPr>
            <w:tcW w:type="dxa" w:w="555"/>
            <w:shd w:fill="EEF1F5" w:val="clear"/>
            <w:tcMar>
              <w:top w:type="dxa" w:w="50"/>
              <w:left w:type="dxa" w:w="90"/>
              <w:bottom w:type="dxa" w:w="50"/>
              <w:right w:type="dxa" w:w="90"/>
            </w:tcMar>
          </w:tcPr>
          <w:p>
            <w:r>
              <w:rPr>
                <w:b/>
                <w:bCs/>
                <w:sz w:val="19"/>
                <w:szCs w:val="19"/>
              </w:rPr>
              <w:t xml:space="preserve">Q11</w:t>
            </w:r>
          </w:p>
        </w:tc>
        <w:tc>
          <w:tcPr>
            <w:tcW w:type="dxa" w:w="555"/>
            <w:shd w:fill="EEF1F5" w:val="clear"/>
            <w:tcMar>
              <w:top w:type="dxa" w:w="50"/>
              <w:left w:type="dxa" w:w="90"/>
              <w:bottom w:type="dxa" w:w="50"/>
              <w:right w:type="dxa" w:w="90"/>
            </w:tcMar>
          </w:tcPr>
          <w:p>
            <w:r>
              <w:rPr>
                <w:b/>
                <w:bCs/>
                <w:sz w:val="19"/>
                <w:szCs w:val="19"/>
              </w:rPr>
              <w:t xml:space="preserve">Q12</w:t>
            </w:r>
          </w:p>
        </w:tc>
      </w:tr>
      <w:tr>
        <w:tc>
          <w:tcPr>
            <w:tcW w:type="dxa" w:w="2412"/>
            <w:tcMar>
              <w:top w:type="dxa" w:w="50"/>
              <w:left w:type="dxa" w:w="90"/>
              <w:bottom w:type="dxa" w:w="50"/>
              <w:right w:type="dxa" w:w="90"/>
            </w:tcMar>
          </w:tcPr>
          <w:p>
            <w:r>
              <w:rPr>
                <w:b w:val="false"/>
                <w:bCs w:val="false"/>
                <w:sz w:val="19"/>
                <w:szCs w:val="19"/>
              </w:rPr>
              <w:t xml:space="preserve">WP1 Synthesis + XAS descriptors</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r>
      <w:tr>
        <w:tc>
          <w:tcPr>
            <w:tcW w:type="dxa" w:w="2412"/>
            <w:tcMar>
              <w:top w:type="dxa" w:w="50"/>
              <w:left w:type="dxa" w:w="90"/>
              <w:bottom w:type="dxa" w:w="50"/>
              <w:right w:type="dxa" w:w="90"/>
            </w:tcMar>
          </w:tcPr>
          <w:p>
            <w:r>
              <w:rPr>
                <w:b w:val="false"/>
                <w:bCs w:val="false"/>
                <w:sz w:val="19"/>
                <w:szCs w:val="19"/>
              </w:rPr>
              <w:t xml:space="preserve">WP2 Devices + switching statistics</w:t>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r>
      <w:tr>
        <w:tc>
          <w:tcPr>
            <w:tcW w:type="dxa" w:w="2412"/>
            <w:tcMar>
              <w:top w:type="dxa" w:w="50"/>
              <w:left w:type="dxa" w:w="90"/>
              <w:bottom w:type="dxa" w:w="50"/>
              <w:right w:type="dxa" w:w="90"/>
            </w:tcMar>
          </w:tcPr>
          <w:p>
            <w:r>
              <w:rPr>
                <w:b w:val="false"/>
                <w:bCs w:val="false"/>
                <w:sz w:val="19"/>
                <w:szCs w:val="19"/>
              </w:rPr>
              <w:t xml:space="preserve">WP3 Correlation + operando + publication</w:t>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r>
      <w:tr>
        <w:tc>
          <w:tcPr>
            <w:tcW w:type="dxa" w:w="2412"/>
            <w:tcMar>
              <w:top w:type="dxa" w:w="50"/>
              <w:left w:type="dxa" w:w="90"/>
              <w:bottom w:type="dxa" w:w="50"/>
              <w:right w:type="dxa" w:w="90"/>
            </w:tcMar>
          </w:tcPr>
          <w:p>
            <w:r>
              <w:rPr>
                <w:b w:val="false"/>
                <w:bCs w:val="false"/>
                <w:sz w:val="19"/>
                <w:szCs w:val="19"/>
              </w:rPr>
              <w:t xml:space="preserve">WP4 Return phase: transfer + map integration</w:t>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r>
    </w:tbl>
    <w:p>
      <w:pPr>
        <w:pStyle w:val="Heading1"/>
        <w:spacing w:after="120" w:before="240"/>
      </w:pPr>
      <w:r>
        <w:t xml:space="preserve">6  Career perspective</w:t>
      </w:r>
    </w:p>
    <w:p>
      <w:pPr>
        <w:spacing w:after="120"/>
      </w:pPr>
      <w:r>
        <w:t xml:space="preserve">The project is the building block between the applicant’s doctorate (memristive devices, PLD, switching statistics) and the goal of an own junior research group in Europe on descriptor-based materials development for memristive oxides. The funded return phase reintegrates the methodology into the European research area (FZ Jülich/RWTH Aachen, JARA) and prepares the ERC Starting Grant/Emmy Noether bid; the MSCA fellowship itself strengthens the European profile of that bid. The choice of YBCO is deliberately map-strategic: it adds the cuprate charge-transfer bonding class and a second structure family to the descriptor map – the decisive generalisation test for its predictive claim. The Stanford/SSRL collaboration will be continued as the transatlantic bridge of the future group.</w:t>
      </w:r>
    </w:p>
    <w:p>
      <w:pPr>
        <w:pStyle w:val="Heading1"/>
        <w:spacing w:after="120" w:before="240"/>
      </w:pPr>
      <w:r>
        <w:t xml:space="preserve">7  References</w:t>
      </w:r>
    </w:p>
    <w:p>
      <w:pPr>
        <w:spacing w:after="120"/>
      </w:pPr>
      <w:r>
        <w:rPr>
          <w:sz w:val="18"/>
          <w:szCs w:val="18"/>
        </w:rPr>
        <w:t xml:space="preserve">[1] R. Waser, M. Aono, Nanoionics-based resistive switching memories. Nature Materials 6, 833–840 (2007).</w:t>
      </w:r>
    </w:p>
    <w:p>
      <w:pPr>
        <w:spacing w:after="120"/>
      </w:pPr>
      <w:r>
        <w:rPr>
          <w:sz w:val="18"/>
          <w:szCs w:val="18"/>
        </w:rPr>
        <w:t xml:space="preserve">[2] R. Waser, R. Dittmann, G. Staikov, K. Szot, Redox-Based Resistive Switching Memories – Nanoionic Mechanisms, Prospects, and Challenges. Advanced Materials 21, 2632–2663 (2009).</w:t>
      </w:r>
    </w:p>
    <w:p>
      <w:pPr>
        <w:spacing w:after="120"/>
      </w:pPr>
      <w:r>
        <w:rPr>
          <w:sz w:val="18"/>
          <w:szCs w:val="18"/>
        </w:rPr>
        <w:t xml:space="preserve">[3] R. Dittmann, S. Menzel, R. Waser, Nanoionic memristive phenomena in metal oxides: the valence change mechanism. Advances in Physics 70, 155–349 (2021).</w:t>
      </w:r>
    </w:p>
    <w:p>
      <w:pPr>
        <w:spacing w:after="120"/>
      </w:pPr>
      <w:r>
        <w:rPr>
          <w:sz w:val="18"/>
          <w:szCs w:val="18"/>
        </w:rPr>
        <w:t xml:space="preserve">[4] S. Menzel, M. Waters, A. Marchewka, U. Böttger, R. Dittmann, R. Waser, Origin of the Ultra-nonlinear Switching Kinetics in Oxide-Based Resistive Switches. Advanced Functional Materials 21, 4487–4492 (2011).</w:t>
      </w:r>
    </w:p>
    <w:p>
      <w:pPr>
        <w:spacing w:after="120"/>
      </w:pPr>
      <w:r>
        <w:rPr>
          <w:sz w:val="18"/>
          <w:szCs w:val="18"/>
        </w:rPr>
        <w:t xml:space="preserve">[5] Y.-L. Lee, J. Kleis, J. Rossmeisl, Y. Shao-Horn, D. Morgan, Prediction of solid oxide fuel cell cathode activity with first-principles descriptors. Energy &amp; Environmental Science 4, 3966–3970 (2011).</w:t>
      </w:r>
    </w:p>
    <w:p>
      <w:pPr>
        <w:spacing w:after="120"/>
      </w:pPr>
      <w:r>
        <w:rPr>
          <w:sz w:val="18"/>
          <w:szCs w:val="18"/>
        </w:rPr>
        <w:t xml:space="preserve">[6] R. Jacobs, J. Hwang, Y. Shao-Horn, D. Morgan, Assessing Correlations of Perovskite Catalytic Performance with Electronic Structure Descriptors. Chemistry of Materials 31, 785–797 (2019).</w:t>
      </w:r>
    </w:p>
    <w:p>
      <w:pPr>
        <w:spacing w:after="120"/>
      </w:pPr>
      <w:r>
        <w:rPr>
          <w:sz w:val="18"/>
          <w:szCs w:val="18"/>
        </w:rPr>
        <w:t xml:space="preserve">[7] A. M. Deml, V. Stevanović, C. L. Muhich, C. B. Musgrave, R. O’Hayre, Oxide enthalpy of formation and band gap energy as accurate descriptors of oxygen vacancy formation energetics. Energy &amp; Environmental Science 7, 1996–2004 (2014).</w:t>
      </w:r>
    </w:p>
    <w:p>
      <w:pPr>
        <w:spacing w:after="120"/>
      </w:pPr>
      <w:r>
        <w:rPr>
          <w:sz w:val="18"/>
          <w:szCs w:val="18"/>
        </w:rPr>
        <w:t xml:space="preserve">[8] R. B. Wexler, G. Sai Gautam, E. B. Stechel, E. A. Carter, Factors Governing Oxygen Vacancy Formation in Oxide Perovskites. Journal of the American Chemical Society 143, 13212–13227 (2021).</w:t>
      </w:r>
    </w:p>
    <w:p>
      <w:pPr>
        <w:spacing w:after="120"/>
      </w:pPr>
      <w:r>
        <w:rPr>
          <w:sz w:val="18"/>
          <w:szCs w:val="18"/>
        </w:rPr>
        <w:t xml:space="preserve">[9] N. Nücker et al., Site-specific and doping-dependent electronic structure of YBa2Cu3Ox probed by O 1s and Cu 2p x-ray-absorption spectroscopy. Physical Review B 51, 8529 (1995). [verify page range before submission]</w:t>
      </w:r>
    </w:p>
    <w:p>
      <w:pPr>
        <w:spacing w:after="120"/>
      </w:pPr>
      <w:r>
        <w:rPr>
          <w:sz w:val="18"/>
          <w:szCs w:val="18"/>
        </w:rPr>
        <w:t xml:space="preserve">[10] M. Merz et al., Site-specific X-Ray Absorption Spectroscopy of Y1-xCaxBa2Cu3O7-y: Overdoping and Role of Apical Oxygen for High-Temperature Superconductivity. Physical Review Letters 80, 5192 (1998). [verify exact title before submission]</w:t>
      </w:r>
    </w:p>
    <w:p>
      <w:pPr>
        <w:spacing w:after="120"/>
      </w:pPr>
      <w:r>
        <w:rPr>
          <w:sz w:val="18"/>
          <w:szCs w:val="18"/>
        </w:rPr>
        <w:t xml:space="preserve">[11] C. Acha, M. J. Rozenberg, Non-volatile resistive switching in the dielectric superconductor YBa2Cu3O7-δ. Journal of Physics: Condensed Matter 21, 045702 (2009).</w:t>
      </w:r>
    </w:p>
    <w:p>
      <w:pPr>
        <w:spacing w:after="120"/>
      </w:pPr>
      <w:r>
        <w:rPr>
          <w:sz w:val="18"/>
          <w:szCs w:val="18"/>
        </w:rPr>
        <w:t xml:space="preserve">[12] Switching dynamics of oxygen-vacancy memristors based on cuprate superconductors. Applied Physics Letters 127, 241602 (2025). [complete author list before submission]</w:t>
      </w:r>
    </w:p>
    <w:p>
      <w:pPr>
        <w:spacing w:after="120"/>
      </w:pPr>
      <w:r>
        <w:rPr>
          <w:sz w:val="18"/>
          <w:szCs w:val="18"/>
        </w:rPr>
        <w:t xml:space="preserve">[13] Bipolar resistive switching in Au/YBa2Cu3O7-δ devices between 80 and 300 K. ACS Applied Electronic Materials (2025), DOI 10.1021/acsaelm.5c02017. [complete citation before submission]</w:t>
      </w:r>
    </w:p>
    <w:p>
      <w:pPr>
        <w:spacing w:after="120"/>
      </w:pPr>
      <w:r>
        <w:rPr>
          <w:sz w:val="18"/>
          <w:szCs w:val="18"/>
        </w:rPr>
        <w:t xml:space="preserve">[14] First-principles study of point defects in YBa2Cu3O7. Journal of Physics Communications 4 (2020), DOI 10.1088/2399-6528/abc9a7. [complete citation before submission]</w:t>
      </w:r>
    </w:p>
    <w:p>
      <w:pPr>
        <w:spacing w:after="120"/>
      </w:pPr>
      <w:r>
        <w:rPr>
          <w:sz w:val="18"/>
          <w:szCs w:val="18"/>
        </w:rPr>
        <w:t xml:space="preserve">[15] Site-dependent oxygen-vacancy formation energies in YBa2Cu3O6.5. Journal of Applied Physics 140, 055104. [verify citation before submission]</w:t>
      </w:r>
    </w:p>
    <w:p>
      <w:pPr>
        <w:spacing w:after="120"/>
      </w:pPr>
      <w:r>
        <w:rPr>
          <w:sz w:val="18"/>
          <w:szCs w:val="18"/>
        </w:rPr>
        <w:t xml:space="preserve">[16] J. Suntivich et al., Estimating Hybridization of Transition Metal and Oxygen States in Perovskites from O K-edge X-ray Absorption Spectroscopy. Journal of Physical Chemistry C 118, 1856–1863 (2014).</w:t>
      </w:r>
    </w:p>
    <w:p>
      <w:pPr>
        <w:spacing w:after="120"/>
      </w:pPr>
      <w:r>
        <w:rPr>
          <w:sz w:val="18"/>
          <w:szCs w:val="18"/>
        </w:rPr>
        <w:t xml:space="preserve">[17] F. Frati, M. O. J. Y. Hunault, F. M. F. de Groot, Oxygen K-edge X-ray Absorption Spectra. Chemical Reviews 120, 4056–4110 (2020).</w:t>
      </w:r>
    </w:p>
    <w:p>
      <w:pPr>
        <w:spacing w:after="120"/>
      </w:pPr>
      <w:r>
        <w:rPr>
          <w:sz w:val="18"/>
          <w:szCs w:val="18"/>
        </w:rPr>
        <w:t xml:space="preserve">[18] W. C. Chueh, C. Falter, M. Abbott, D. Scipio, P. Furler, S. M. Haile, A. Steinfeld, High-Flux Solar-Driven Thermochemical Dissociation of CO2 and H2O Using Nonstoichiometric Ceria. Science 330, 1797–1801 (2010).</w:t>
      </w:r>
    </w:p>
    <w:p>
      <w:pPr>
        <w:spacing w:after="120"/>
      </w:pPr>
      <w:r>
        <w:rPr>
          <w:sz w:val="18"/>
          <w:szCs w:val="18"/>
        </w:rPr>
        <w:t xml:space="preserve">[19] D. N. Mueller, M. L. Machala, H. Bluhm, W. C. Chueh, Redox activity of surface oxygen anions in oxygen-deficient perovskite oxides during electrochemical reactions. Nature Communications 6, 6097 (2015).</w:t>
      </w:r>
    </w:p>
    <w:p>
      <w:pPr>
        <w:spacing w:after="120"/>
      </w:pPr>
      <w:r>
        <w:rPr>
          <w:sz w:val="18"/>
          <w:szCs w:val="18"/>
        </w:rPr>
        <w:t xml:space="preserve">[20] C. Baeumer, J. Li, Q. Lu et al. (with W. C. Chueh), Tuning electrochemically driven surface transformation in atomically flat LaNiO3 thin films for enhanced water electrolysis. Nature Materials 20, 674–682 (2021).</w:t>
      </w:r>
    </w:p>
    <w:p>
      <w:pPr>
        <w:spacing w:after="120"/>
      </w:pPr>
      <w:r>
        <w:rPr>
          <w:sz w:val="18"/>
          <w:szCs w:val="18"/>
        </w:rPr>
        <w:t xml:space="preserve">[21] M. Wuttig et al., Revisiting the Nature of Chemical Bonding in Chalcogenides to Explain and Design their Properties. Advanced Materials 35, 2208485 (2023).</w:t>
      </w:r>
    </w:p>
    <w:p>
      <w:pPr>
        <w:spacing w:after="120"/>
      </w:pPr>
      <w:r>
        <w:rPr>
          <w:sz w:val="18"/>
          <w:szCs w:val="18"/>
        </w:rPr>
        <w:t xml:space="preserve">[22] J. Zaanen, G. A. Sawatzky, J. W. Allen, Band gaps and electronic structure of transition-metal compounds. Physical Review Letters 55, 418–421 (1985).</w:t>
      </w:r>
    </w:p>
    <w:p>
      <w:pPr>
        <w:spacing w:after="120"/>
      </w:pPr>
      <w:r>
        <w:rPr>
          <w:sz w:val="18"/>
          <w:szCs w:val="18"/>
        </w:rPr>
        <w:t xml:space="preserve">[23] A. Fujimori, F. Minami, Valence-band photoemission and optical absorption in nickel compounds. Physical Review B 30, 957–971 (1984).</w:t>
      </w:r>
    </w:p>
    <w:p>
      <w:pPr>
        <w:spacing w:after="120"/>
      </w:pPr>
      <w:r>
        <w:rPr>
          <w:sz w:val="18"/>
          <w:szCs w:val="18"/>
        </w:rPr>
        <w:t xml:space="preserve">[24] A. E. Bocquet, T. Mizokawa, T. Saitoh, H. Namatame, A. Fujimori, Electronic structure of 3d-transition-metal compounds by analysis of the 2p core-level photoemission spectra. Physical Review B 46, 3771–3784 (1992).</w:t>
      </w:r>
    </w:p>
    <w:p>
      <w:pPr>
        <w:spacing w:after="120"/>
      </w:pPr>
      <w:r>
        <w:rPr>
          <w:sz w:val="18"/>
          <w:szCs w:val="18"/>
        </w:rPr>
        <w:t xml:space="preserve">[25] T. Saitoh, A. E. Bocquet, T. Mizokawa, A. Fujimori, Systematic variation of the electronic structure of 3d transition-metal compounds. Physical Review B 52, 7934–7938 (1995).</w:t>
      </w:r>
    </w:p>
    <w:p>
      <w:pPr>
        <w:spacing w:after="120"/>
      </w:pPr>
      <w:r>
        <w:rPr>
          <w:sz w:val="18"/>
          <w:szCs w:val="18"/>
        </w:rPr>
        <w:t xml:space="preserve">[26] S. Nimkar, D. D. Sarma, H. R. Krishnamurthy, S. Ramasesha, Mean-field results of the multiple-band extended Hubbard model for the square-planar CuO2 lattice. Physical Review B 48, 7355–7363 (1993).</w:t>
      </w:r>
    </w:p>
    <w:p>
      <w:pPr>
        <w:spacing w:after="120"/>
      </w:pPr>
      <w:r>
        <w:rPr>
          <w:sz w:val="18"/>
          <w:szCs w:val="18"/>
        </w:rPr>
        <w:t xml:space="preserve">[27] F. M. F. de Groot, X-ray absorption and dichroism of transition metals and their compounds. Journal of Electron Spectroscopy and Related Phenomena 67, 529–622 (1994).</w:t>
      </w:r>
    </w:p>
    <w:p>
      <w:pPr>
        <w:spacing w:after="120"/>
      </w:pPr>
      <w:r>
        <w:rPr>
          <w:sz w:val="18"/>
          <w:szCs w:val="18"/>
        </w:rPr>
        <w:t xml:space="preserve">[28] H. Eskes, G. A. Sawatzky, Tendency towards local spin compensation of holes in the high-Tc copper compounds. Physical Review Letters 61, 1415–1418 (1988).</w:t>
      </w:r>
    </w:p>
    <w:p>
      <w:pPr>
        <w:spacing w:after="120"/>
      </w:pPr>
      <w:r>
        <w:rPr>
          <w:sz w:val="18"/>
          <w:szCs w:val="18"/>
        </w:rPr>
        <w:t xml:space="preserve">[29] Z.-X. Shen, J. W. Allen et al., Anderson Hamiltonian description of the experimental electronic structure and magnetic interactions of copper oxide superconductors. Physical Review B 36, 8414 (1987).</w:t>
      </w:r>
    </w:p>
    <w:p>
      <w:pPr>
        <w:spacing w:after="120"/>
      </w:pPr>
      <w:r>
        <w:rPr>
          <w:sz w:val="18"/>
          <w:szCs w:val="18"/>
        </w:rPr>
        <w:t xml:space="preserve">[30] M. A. van Veenendaal, G. A. Sawatzky et al., Physical Review B 49, 3473 (1994). [nonlocal screening in Cu 2p spectra; complete citation before submission]</w:t>
      </w:r>
    </w:p>
    <w:p>
      <w:pPr>
        <w:spacing w:after="120"/>
      </w:pPr>
      <w:r>
        <w:rPr>
          <w:sz w:val="18"/>
          <w:szCs w:val="18"/>
        </w:rPr>
        <w:t xml:space="preserve">[E1] M. Buczek et al., Amorphous, Highly Conductive Pr0.7Ca0.3MnO3 for Area-Dependent Resistive Switching Devices. Advanced Electronic Materials (2026, accepted).</w:t>
      </w:r>
    </w:p>
    <w:p>
      <w:pPr>
        <w:spacing w:after="120"/>
      </w:pPr>
      <w:r>
        <w:rPr>
          <w:sz w:val="18"/>
          <w:szCs w:val="18"/>
        </w:rPr>
        <w:t xml:space="preserve">[E2] M. Buczek, Z. Moos, A. Gutsche, S. Menzel, R. Dittmann, Pr1-xCaxMnO3-Based Memristive Heterostructures: Basic Mechanisms and Applications. Chemical Reviews 125, 6156–6202 (2025).</w:t>
      </w:r>
    </w:p>
    <w:p>
      <w:pPr>
        <w:spacing w:after="120"/>
      </w:pPr>
      <w:r>
        <w:rPr>
          <w:sz w:val="18"/>
          <w:szCs w:val="18"/>
        </w:rPr>
        <w:t xml:space="preserve">[E3] M. Buczek et al., Large Area Pulsed Laser Deposition of Memristive Pr0.7Ca0.3MnO3 Heterostructures for Neuromorphic Computing. Thin Solid Films (2024).</w:t>
      </w:r>
    </w:p>
    <w:p>
      <w:pPr>
        <w:pStyle w:val="Heading1"/>
        <w:spacing w:after="120" w:before="240"/>
      </w:pPr>
      <w:r>
        <w:t xml:space="preserve">8  Notes before submission</w:t>
      </w:r>
    </w:p>
    <w:p>
      <w:pPr>
        <w:spacing w:after="120"/>
      </w:pPr>
      <w:r>
        <w:rPr>
          <w:sz w:val="18"/>
          <w:szCs w:val="18"/>
        </w:rPr>
        <w:t xml:space="preserve">• Verify all bracketed programme details (rates, deadlines, current call conditions) against the funder’s current documentation. • Coordinate the proposal with Prof. Chueh and fix the German/European host institution. • European host institution acts as applicant – letter of commitment, supervision agreement (both hosts) and training plan required per MSCA template. • Manuscript placeholders in the publication list ([E1]) to be updated at submission time.</w:t>
      </w:r>
    </w:p>
    <w:sectPr>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2026-08-10T20:20:19.621Z</dcterms:created>
  <dcterms:modified xsi:type="dcterms:W3CDTF">2026-08-10T20:20:19.621Z</dcterms:modified>
</cp:coreProperties>
</file>

<file path=docProps/custom.xml><?xml version="1.0" encoding="utf-8"?>
<Properties xmlns="http://schemas.openxmlformats.org/officeDocument/2006/custom-properties" xmlns:vt="http://schemas.openxmlformats.org/officeDocument/2006/docPropsVTypes"/>
</file>