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Materialsysteme im Vergleich – Entscheidungsgrundlage für das Antragsportfolio</w:t>
      </w:r>
    </w:p>
    <w:p>
      <w:pPr>
        <w:spacing w:after="100"/>
      </w:pPr>
      <w:r>
        <w:rPr>
          <w:i/>
          <w:iCs/>
          <w:sz w:val="18"/>
          <w:szCs w:val="18"/>
        </w:rPr>
        <w:t xml:space="preserve">Stand: 09.08.2026, Fokus-Revision 6 (Cluster-Modell-Re-Screening durchgeführt). Claude-Code-generiert. Externes Fachfeedback (08/2026) umgesetzt: Beleglage-Formulierungen zur XAS-Quantifizierung entschärft, Kovalenzbegriff in allen Anträgen über die Cluster-Modell-Grundlagenliteratur der 80er/90er verankert (Fujimori, Bocquet, Saitoh, Sarma; sechs neue Grundlagenreferenzen je Antragsset, einzeln verifiziert), kritische Distanz zur Katalyseliteratur als expliziter Methodik-Baustein, Host-Wahl als Revisionspunkt markiert (s. u.). Material_4 (LSMO) und Material_5 (LNO) wurden aus dem Portfolio entfernt, da für sie kein Schaltnachweis an einer Edelmetall-Grenzfläche existiert (Achse-2-Kriterium); in den EN-/ERC-Programmen ersetzt Pr1-xCaxMnO3 die bisherige LSMO-Referenzserie. Nach dem Familien-Screening (Materialscreening_2026-08-09.docx) wurden drei neue Materialordner mit vollständigen Antragssets ergänzt: Material_6 (LSCO mit SrCoOx-Anker), Material_7 (YBCO) und Material_8 (GDC, Fluorit). Bewertung entlang der Deskriptorkette in drei Beleg-Glieder zerlegt (1a, 1b, 2 – siehe unten); Elektrodenstapel und Stöchiometrie-Abhängigkeiten der 14 zentralen Device-Studien einzeln verifiziert. Referenzstatus: Alle 101 Literaturverweise des Portfolios am 09.08.2026 vollständig verifiziert und korrigiert, Literatursuche je System wiederholt, empfohlene Neuaufnahmen eingearbeitet (Details: Literaturpruefung_2026-08-09.docx). Die Drei-Glieder-Bewertung ist in die Antragsdokumente übernommen: Ketten-Absätze in allen EN-/ERC-Fassungen, geschärfte Systemargumente in den fünf Lynen-Exposés; Kramer 2017 und Nakamura 2013 neu im PCMO-Set, Mikheev 2015 neu im STF-Exposé. Jeder Materialordner (Material_1–3, Material_6–8) enthält ein vollständiges Antragsset: Feodor-Lynen-Exposé, ERC Starting Grant (COVMAP) und DFG Emmy Noether (COMET-Ox) sowie eigenständige Vollanträge für DAAD PRIME, das DFG-Walter-Benjamin-Programm und die MSCA Postdoctoral Fellowship (Global), jeweils ohne Bezug auf die Feodor-Lynen-Förderung formuliert – für den Auslandsaufenthalt wird nur eines der Postdoc-Programme verfolgt; die Parallel-Entwürfe dienen dem Formatvergleich.</w:t>
      </w:r>
    </w:p>
    <w:p>
      <w:pPr>
        <w:pStyle w:val="Heading1"/>
        <w:spacing w:after="120" w:before="240"/>
      </w:pPr>
      <w:r>
        <w:t xml:space="preserve">Bewertungsfokus: die Deskriptorkette in drei Beleg-Gliedern</w:t>
      </w:r>
    </w:p>
    <w:p>
      <w:pPr>
        <w:spacing w:after="100"/>
      </w:pPr>
      <w:r>
        <w:t xml:space="preserve">Die Projektlogik ist eine Kette: Stöchiometrie → Kovalenz → Sauerstoffleerstellen-Bildungsenergie (EV) → Schaltverhalten. Die Beleglage wird pro System für drei Glieder getrennt bewertet:</w:t>
      </w:r>
    </w:p>
    <w:p>
      <w:pPr>
        <w:spacing w:after="100"/>
      </w:pPr>
      <w:r>
        <w:t xml:space="preserve">Achse 1a – Kovalenzänderung mit der Stöchiometrie: Wie gut ist experimentell (XAS-Serien, O-K-Preedge) belegt, dass sich die Metall–Sauerstoff-Kovalenz mit der Dotierung x bzw. dem Sauerstoffgehalt δ systematisch und quantifizierbar ändert? Konzeptioneller Rahmen (nach externem Fachfeedback, 08/2026): „Kovalenz“ ist quantitativ im Ladungstransfer-/Cluster-Modell-Sinn zu verstehen (Δ, U, Transferintegrale; Zaanen–Sawatzky–Allen 1985; Konfigurationswechselwirkungs-Analysen von Fujimori/Minami 1984, Bocquet 1992, Saitoh 1995, Nimkar/Sarma 1993). O-K-Preedge-Intensitäten gelten nur als relativer, serieninterner Hybridisierungsmaßstab (Grenzen: de Groot 1994); die in der Katalyseliteratur verbreitete Gleichsetzung von Hybridisierung und Kovalenz wird in allen Anträgen ausdrücklich vermieden.</w:t>
      </w:r>
    </w:p>
    <w:p>
      <w:pPr>
        <w:spacing w:after="100"/>
      </w:pPr>
      <w:r>
        <w:t xml:space="preserve">Achse 1b – EV-Änderung mit der Kovalenz: Wie gut ist belegt, dass die Leerstellen-Bildungsenergie des Systems der Kovalenz folgt – idealerweise als quantitative EV(x)-Beziehung (Defektchemie, DFT) mit explizitem Kovalenz-Bezug? (Die generische Perowskit-Deskriptorliteratur – Lee 2011, Deml 2014, Jacobs 2019, Wexler 2021 – liefert das Fundament für alle Systeme; bewertet wird hier die systemspezifische Verankerung.)</w:t>
      </w:r>
    </w:p>
    <w:p>
      <w:pPr>
        <w:spacing w:after="100"/>
      </w:pPr>
      <w:r>
        <w:t xml:space="preserve">Achse 2 – Resistives Schalten an der Edelmetall-Grenzfläche: Ist für das Material nachgewiesen, dass es an einer inerten Edelmetall-Grenzfläche (Pt, Au, Graphen) resistiv schaltet? Kriterium: Der Nachweis für einzelne Stöchiometrien genügt. Existiert er, kann das Projekt auf dieser Basis beides untersuchen – den Zusammenhang mit der Kovalenz und die Optimierung des Schaltens über die Stöchiometrie; die fehlende Kompositionsserie ist dann Projektraum, kein Machbarkeitsrisiko. Nur wo der Nachweis ganz fehlt, steht vor der Deskriptorstudie ein Machbarkeitsschritt. (Hintergrund: Nur an inerten Grenzflächen bleibt die Sauerstoffbilanz im Oxid, sodass die Kovalenz – und nicht die Elektrodenchemie – die gemessene Variable ist.)</w:t>
      </w:r>
    </w:p>
    <w:p>
      <w:pPr>
        <w:pStyle w:val="Heading1"/>
        <w:spacing w:after="120" w:before="240"/>
      </w:pPr>
      <w:r>
        <w:t xml:space="preserve">Kurzübersicht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2050"/>
        <w:gridCol w:w="2050"/>
        <w:gridCol w:w="2300"/>
        <w:gridCol w:w="1622"/>
      </w:tblGrid>
      <w:tr>
        <w:tc>
          <w:tcPr>
            <w:tcW w:type="dxa" w:w="1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System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1a: Kovalenz vs. Stöchiometrie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1b: EV vs. Kovalenz</w:t>
            </w:r>
          </w:p>
        </w:tc>
        <w:tc>
          <w:tcPr>
            <w:tcW w:type="dxa" w:w="230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2: Schalten an Edelmetall-Grenzfläche vs. Stöchiometrie</w:t>
            </w:r>
          </w:p>
        </w:tc>
        <w:tc>
          <w:tcPr>
            <w:tcW w:type="dxa" w:w="1622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Fazit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 – SrTi1-xFexO3-δ (STF)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belegt: Fe–O-Hybridisierung und Fe-Valenz über die Reihe per XAS dokumentiert (Vračar 2007); die elektronische Struktur ändert sich nachweislich kontinuierlich mit x (Eg(x) = 3,2 − 1,9x + 0,5x² eV, Rothschild 2006); O-K-Preedge als relativer, serieninterner Hybridisierungsmaßstab nutzbar (Suntivich 2014; Grenzen: de Groot 1994, Frati 2020) – keine absolute Kovalenzskala; Verankerung über Cluster-Modell-Analysen (Bocquet/Saitoh/Fujimori) vorgesehen. Einschränkung: verdünntes Fe → kleine absolute Kovalenzänderungen, Präzisionsspektroskopie nötig.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besten verankert, aber indirekt: ΔHred(x) = 5,8 − 3,4x + 1,7x² eV aus experimentnahen Defektdaten (Leitfähigkeit/Nichtstöchiometrie; Rothschild 2006) – die einzige quasi-experimentelle EV-Skala aller fünf Systeme. Der Link läuft jedoch über die gemeinsame Variable x, nicht über direkt gemessene Kovalenz; generische Perowskit-Deskriptormodelle stützen ihn (Lee 2011, Deml 2014, Wexler 2021). Genau diese fehlende direkte Korrelation ist der Antragsinhalt.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– am stärksten: Schalten an der Pt-Grenzfläche mehrfach nachgewiesen und mechanistisch etabliert (Muenstermann 2010; Sarantopoulos 2024; Pt-Platzierung kontrolliert, Sediva 2019); mit Mikheev 2015 existiert sogar eine Stöchiometrieserie an Pt (Sr/Ti-Kationenstöchiometrie). Die fehlende Fe-Serie ist reiner Projektraum: Kovalenz-Korrelation plus Stöchiometrie-Optimierung auf nachgewiesener Basis.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Empfehlung bestätigt: alle drei Glieder mindestens solide, 1b und 2 führend; das Projekt startet auf nachgewiesener Edelmetall-Basis direkt mit Korrelation und Stöchiometrie-Optimierung. Risikoärmster Start.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 – Pr1-xCaxMnO3 (PCMO)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Nur punktuell belegt: XAS-Kovalenzquantifizierung für genau zwei Kompositionen (x = 0,1 und 0,33; Lole 2023, OER-Kontext); dazwischen und darüber unbelegt; Kalibrierbasis ist die Manganit-XAS an La1-xSrxMnO3 (Abbate 1992). Die 1a-Achse wäre im Projekt weitgehend selbst zu vermessen.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Für PCMO unbelegt: keine publizierte EV(x)- oder EV(Kovalenz)-Beziehung; nur die generischen Perowskit-Deskriptormodelle (Lee 2011, Deml 2014, Wexler 2021) sind übertragbar. Der Asanuma-Optimumsbefund (x ≈ 0,4) wartet seit 15 Jahren auf genau diese Deskriptorerklärung.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Erfüllt: Schalten an der Edelmetall-Grenzfläche ist für eine Einzelstöchiometrie nachgewiesen – Pt/PCMO/Pt (x = 0,33) schaltet δ-abhängig, mit STEM-EELS-Beleg interner O-Migration (Kramer 2017). Einschränkungen: an offenen Au-Kontakten keine Hysterese (Nakamura 2013), Effekte schwächer als mit reaktivem Ti (Asanuma 2009). Die Ca-Serie an Pt ist offen – und damit der Optimierungsraum des Projekts.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Deutlich aufgewertet: Achse 2 erfüllt (Kramer 2017) plus eigene Kernexpertise; die Schwächen liegen klar lokalisierbar auf 1a/1b (Deskriptorachsen im Projekt selbst zu vermessen). Solide De-Risking-Option mit Korrelations- und Optimierungsperspektive.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 – La1-xSrxFeO3-δ (LSFO)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 – kanonisch: Kontrolliert-Valenz-XAS über die gesamte Reihe zeigt systematisch mit x wachsenden O-2p-Lochcharakter (Abbate 1992); O-K-Preedge als serieninterner Maßstab nutzbar (Suntivich 2014). Experimentell die sauberste Stöchiometrie→Kovalenz-Serie neben LSMO.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belegt, rechnerisch: EV fällt ≈4 eV → &lt;1 eV für x = 0–0,5 und wird explizit über Lochkompensation/kovalente Fe–O-Zustände erklärt (Ritzmann 2013, DFT+U); Endglieder per Diffusions-QMC (Santana 2017); Ferrite prominent in der Deskriptorliteratur (Lee 2011, Mastrikov/Merkle 2012/13). Größter dokumentierter EV-Hub – aber kein experimenteller EV-Messwert.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an den Endgliedern: SrFeO2.5/SrFeOx schaltet unter inerten Au/SrRuO3-Stapeln (Nallagatla 2019, Tian 2019, Rao 2021; topotaktischer Volumenmechanismus), LaFeO3 rudimentär (Aljurays 2023). Für 0 &lt; x &lt; 1 keine Studie – unter dem Nachweis-Kriterium kein Machbarkeitsrisiko, sondern der größte unerschlossene Optimierungsraum des Feldes.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Deskriptor-Fundament komplett (1a exzellent, 1b quantitativ) und Achse 2 an den Endgliedern erfüllt – die unbelegte Zwischenserie ist Optimierungsraum, nicht Machbarkeitsrisiko. Stärkste Wahl fürs Gruppenprogramm; Topotaktik am Sr-Ende als kartierbare Grenze.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 – La1-xSrxCoO3-δ (LSCO, mit SrCoOx-Anker)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Exzellent: O-1s-XAS-Serie vs. x (Saitoh, PRB 56, 1290 (1997)); δ-Achse spektroskopisch zugänglich; O-K-Preedge als serieninterner Maßstab nutzbar.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explizitesten aller Familien: experimentelle Defektchemie δ(pO2, T, x) (Mizusaki 1989) plus expliziter Kovalenz→EV-Link (Mefford, Nat. Commun. 7, 11053 (2016)).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am Sr-Endglied: SrCoOx schaltet Au-aktiv (Acharya 2016: Au/SrCoO2.5/LSM; Nallagatla 2019: Au/SrCoO2.5/Nb:STO; analog Mou 2021; Strain-Kontrolle Xiang 2022). Zwischenkompositionen bisher nur mit reaktivem Ag – der Optimierungsraum des Projekts.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 aus dem Screening (09.08.2026): komplettiert das Drei-Familien-Programm als Serie 3 mit erfülltem Achse-2-Anker (Endglied-Logik analog LSFO/SrFeOx). Confounder: perkolativer MIT (x ≈ 0,18), Spin-State-Übergänge.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 – YBa2Cu3O7-δ (YBCO)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Einzigartig: platzaufgelöste O-1s/Cu-2p-XAS (Ebene/Kette/Apex) vs. δ und Dotierung (Nücker 1995; Merz 1998); Kettensauerstoff kontinuierlich 6,0–7,0 stimmbar – feinste Stöchiometrieachse des Portfolios.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DFT-Punktdefekte platz- und δ-abhängig (Kette ≈ 1,2 eV vs. Ebene ≈ 2,1 eV; J. Phys. Commun. 2020; JAP 140, 055104 – Zitate vor Einreichung vervollständigen).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und repliziert: Au/YBCO/Au bipolar, nichtflüchtig, O-Leerstellen-Mechanismus (Acha/Rozenberg, JPCM 21, 045702 (2009); APL 127, 241602; ACS AEM 2025, 80–300 K). Bisher Keramik – epitaktische Zellen sind der Projektbeitrag.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Neuzugang: erweitert die Karte um die Kuprat-Bindungsklasse und eine zweite Strukturfamilie – schärfster Generalisierungstest innerhalb der Oxide. Confounder: Supraleitung &lt; 93 K (Metrologie ≥ 100 K), Kettenordnungs-Kinetik.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 – Ce1-xGdxO2-δ (GDC, Fluorit)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Andersartig: Reduzierbarkeits-/Kovalenzachse über Ce-4f/O-2p (Ce-M4,5/L3-XAS, EELS), primär vs. δ belegt; XAS-Serie vs. x fehlt – wäre der eigene 1a-Beitrag.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DFT: EV- und Assoziationsenergien vs. Dotand (Andersson, PNAS 103, 3518 (2006)); Tuller-Defektchemie der dotierten Cerie (PCO) als experimenteller Anker.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reifsten von allen: Pt/GDC/Pt-Crossbars mit x-Serie 0–0,2 im Device (Schmitt/Rupp, ACS Nano 11, 8881 (2017)); polaronisches RS (AEM 2019); Pt/SDC/Nb:STO (Materials 2024).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Neuzugang: Generalisierungstest der Deskriptorkarte jenseits der Perowskite, auf publizierter Pt/Pt-Plattform. Confounder: 4f-Lokalisierung/polaronischer Transport, Korngrenzen; Gd wirkt primär über VO-Konzentration.</w:t>
            </w:r>
          </w:p>
        </w:tc>
      </w:tr>
    </w:tbl>
    <w:p>
      <w:pPr>
        <w:pStyle w:val="Heading1"/>
        <w:spacing w:after="120" w:before="240"/>
      </w:pPr>
      <w:r>
        <w:t xml:space="preserve">Cluster-Modell-Parameterbasis (Achse 1a*, Re-Screening 09.08.2026)</w:t>
      </w:r>
    </w:p>
    <w:p>
      <w:pPr>
        <w:spacing w:after="100"/>
      </w:pPr>
      <w:r>
        <w:t xml:space="preserve">Auf Empfehlung des Fachfeedbacks wurde geprüft, für welche Systeme die CI-/Cluster-Modell-Parameter (Δ, U, Transferintegrale) publiziert sind (Details und Schlüsselquellen: ClusterModell_ReScreening_2026-08-09.docx). Verdikte: LSCO STARK (zwei unabhängige CI-Serienanalysen: Saitoh/Fujimori 1997, Chainani/Sarma 1992) · LSFO TEILWEISE–STARK (beide Endglieder quantitativ, inkl. negativem Δ für SrFeO3, HAXPES-bestätigt 2024; die Serie kreuzt das Vorzeichen von Δ) · YBCO TEILWEISE–STARK (Ebenen-Parameter kreuzvalidiert; δ-aufgelöste Extraktion offen, Nonlocal-Screening beachten) · GDC TEILWEISE (CeO2 kanonisch; Gd-/δ-Parametrik fehlt; 4f-Impurity-Rahmen) · STF und PCMO LÜCKE (keine CI-Extraktion publiziert – eigene Cluster-Analyse als expliziter Projektbaustein, Startparameter vorhanden). Die Befunde sind als „System-specific parameter status“ in die sechs Exposés übernommen (16 neue CI-Grundlagenreferenzen, einzeln verifiziert).</w:t>
      </w:r>
    </w:p>
    <w:p>
      <w:pPr>
        <w:pStyle w:val="Heading1"/>
        <w:spacing w:after="120" w:before="240"/>
      </w:pPr>
      <w:r>
        <w:t xml:space="preserve">Einordnung und Empfehlung</w:t>
      </w:r>
    </w:p>
    <w:p>
      <w:pPr>
        <w:spacing w:after="100"/>
      </w:pPr>
      <w:r>
        <w:t xml:space="preserve">Rangfolge Achse 1a (Kovalenz vs. Stöchiometrie, experimentell): LSFO (kanonische XAS-Serie, Abbate 1992) &gt; STF (XAS-Serie vorhanden, Effekte klein) &gt; PCMO (zwei Messpunkte).</w:t>
      </w:r>
    </w:p>
    <w:p>
      <w:pPr>
        <w:spacing w:after="100"/>
      </w:pPr>
      <w:r>
        <w:t xml:space="preserve">Rangfolge Achse 1b (EV vs. Kovalenz, systemspezifisch): STF (einzige quasi-experimentelle EV-Skala, geschlossene Form) &gt; LSFO (quantitative DFT-Kette mit explizitem Kovalenz-Bezug, größter EV-Hub) &gt; PCMO (nur generische Modelle).</w:t>
      </w:r>
    </w:p>
    <w:p>
      <w:pPr>
        <w:spacing w:after="100"/>
      </w:pPr>
      <w:r>
        <w:t xml:space="preserve">Achse 2 unter dem Nachweis-Kriterium (Einzelstöchiometrie genügt): Alle drei verbliebenen Systeme erfüllen es – STF am stärksten (Pt-Basis mehrfach nachgewiesen, dazu Sr/Ti-Serie an Pt), PCMO (Pt/Pt, δ-abhängig, Kramer 2017), LSFO (Endglieder unter Au/SrRuO3). Damit wird die jeweils fehlende Kompositionsserie vom Risiko zum Projektinhalt: Korrelation mit der Kovalenz plus Optimierung des Schaltens über die Stöchiometrie.</w:t>
      </w:r>
    </w:p>
    <w:p>
      <w:pPr>
        <w:spacing w:after="100"/>
      </w:pPr>
      <w:r>
        <w:t xml:space="preserve">Lesart der Kette: Alle drei verbliebenen Systeme haben den Edelmetall-Nachweis und damit eine belastbare Startbasis – jedes Projekt kann unmittelbar Korrelation und Stöchiometrie-Optimierung verfolgen. STF führt zusätzlich auf 1b und hat als einziges auch eine Stöchiometrieserie an Pt (Sr/Ti); seine Lücken (direkte Kovalenz↔EV-Korrelation, Fe-Serie) sind exakt der Antragsinhalt. LSFO kombiniert das komplette Deskriptor-Fundament (1a exzellent, 1b quantitativ) mit erfüllter Achse 2 an den Endgliedern – die Zwischenserie ist der größte Optimierungsraum des Feldes. PCMO ist auf 1a/1b am dünnsten, bringt aber Nachweis, publizierte Kompositions-Benchmark (Asanuma) und die Eigenexpertise des Antragstellers mit.</w:t>
      </w:r>
    </w:p>
    <w:p>
      <w:pPr>
        <w:spacing w:after="100"/>
      </w:pPr>
      <w:r>
        <w:t xml:space="preserve">Empfehlung: STF als Lynen-Pilot (führt auf 1b + 2; Mikheev 2015 als methodische Blaupause „Stöchiometrie → Schottky-Barriere an Pt“), LSFO als Reihe 1 des Gruppenprogramms (Deskriptor-Fundament komplett, Achse 2 an den Endgliedern erfüllt), PCMO als Referenzserie 2 (Nachweis + Benchmark + Eigenexpertise). Die großen Anträge (ERC/Emmy Noether) führen entsprechend das Drei-Familien-Programm LSFO (primär) / PCMO (Referenz) / LSCO (Kartenverdichtung, zweite Phase); der Kobaltit-Baustein hat die Achse-2-Prüfung über sein Endglied SrCoOx bestanden (Screening 09.08.2026; vollständiges Antragsset in Material_6). YBCO (Ordner 7) und GDC (Ordner 8) sind Kartenerweiterungs-Optionen – als Lynen-Pilot wählbar, im Gruppenprogramm als exploratives Arbeitspaket der zweiten Phase: YBCO testet die Kuprat-Bindungsklasse, GDC die Übertragbarkeit auf die Fluorit-Struktur.</w:t>
      </w:r>
    </w:p>
    <w:p>
      <w:pPr>
        <w:pStyle w:val="Heading1"/>
        <w:spacing w:after="120" w:before="240"/>
      </w:pPr>
      <w:r>
        <w:t xml:space="preserve">Ausgeschiedene Systeme (09.08.2026)</w:t>
      </w:r>
    </w:p>
    <w:p>
      <w:pPr>
        <w:spacing w:after="100"/>
      </w:pPr>
      <w:r>
        <w:t xml:space="preserve">La1-xSrxMnO3-δ (LSMO, vormals Material_4): Achse 2 nicht erfüllt – kein Schaltnachweis an einer Edelmetall-Grenzfläche für irgendeine Stöchiometrie (einzige x-Serie über reaktives Al, Choi 2013; Moreno 2010 spitzenbasiert; Liu 2024 mit Ag); zudem 1b dünn. Die exzellente 1a-Achse (Abbate 1992) bleibt dem Programm als Kalibrierbasis der Manganit-XAS erhalten.</w:t>
      </w:r>
    </w:p>
    <w:p>
      <w:pPr>
        <w:spacing w:after="100"/>
      </w:pPr>
      <w:r>
        <w:t xml:space="preserve">La2NiO4+δ / La2-xSrxNiO4 (LNO, vormals Material_5): Achse 2 nicht erfüllt – Schalten nur an reaktiver TiN-Grenzfläche (Khuu 2022, Koroleva 2024) bzw. als interner Oxid/Oxid-Kontakt (Maas 2022); zusätzlich 1b offen (Interstitial-Energetik unpubliziert). Bleibt als denkbares exploratives Thema notiert, ist aber nicht mehr Teil des Antragsportfolios.</w:t>
      </w:r>
    </w:p>
    <w:p>
      <w:pPr>
        <w:pStyle w:val="Heading1"/>
        <w:spacing w:after="120" w:before="240"/>
      </w:pPr>
      <w:r>
        <w:t xml:space="preserve">Offene Punkte vor Einreichung</w:t>
      </w:r>
    </w:p>
    <w:p>
      <w:pPr>
        <w:spacing w:after="100"/>
      </w:pPr>
      <w:r>
        <w:t xml:space="preserve">• Portfolio-Erweiterung: Das Familien-Screening vom 09.08.2026 (Materialscreening_2026-08-09.docx) identifiziert YBa2Cu3O7-δ, SrCoOx und Gd:CeO2 als weitere Systeme, die alle drei Beleg-Glieder erfüllen; SrCoOx de-riskt zugleich den LSCO-Phase-2-Baustein (Endglied-Logik analog LSFO/SrFeOx). • Host-Wahl neu bewerten (externes Fachfeedback, 08/2026): Die Chueh-Gruppe selbst ist kaum noch Perowskit-aktiv; die einschlägigen Linien laufen in Alumni-Gruppen weiter – C. Baeumer (Univ. Twente), Q. Lu (Westlake Univ.), J. T. Mefford, D. Chen. Alternativ, falls XAS-Quantifizierung der methodische Kern ist: Host mit direktem Synchrotronzugang (z. B. PSI/SLS, MAX IV, Diamond). Danach die Host-Abschnitte aller Postdoc-Anträge neu schreiben (aktuell mit Revisionsvermerk markiert). • Cluster-Modell-Re-Screening durchgeführt (09.08.2026, s. Abschnitt 1a* und ClusterModell_ReScreening_2026-08-09.docx); Restpunkt: exakte Parametertabellen (Bocquet 1992, Saitoh 1995/1997, Wadati 2005, Shen 1987) am Volltext prüfen – Verlagszugänge aus dieser Umgebung gesperrt – und Analyse-Werkzeug (CTM4XAS/Quanty) für die eigenen Fits festlegen. • Verifikations-Flags: Asanuma-Rückelektrode (SrRuO3) aus Plattformkontext erschlossen; Choi-Al-Top aus Begleitpublikationen bestätigt – vor Einreichung am Volltext gegenprüfen. • EV ist nur für STF experimentnah (Defektmodell), sonst DFT – in den Anträgen sauber als rechnerisch kennzeichnen; für LNO wäre die Interstitial-Energetik (1b) als eigenes Arbeitspaket auszuweisen. • Verteidigungsdatum, Patentdetails, Kooperationszusagen (Chueh, Synchrotron-, DFT-Partner), Wahl der Gastinstitution (RWTH vs. FZJ). • Manuskript-Platzhalter [P1]/[E4] mit realen Ergebnissen füllen. • ERC-/Emmy-Noether-Fassungen sind als Zukunftsszenario aus dem laufenden Lynen-Aufenthalt geschrieben – vor realer Nutzung anpassen.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2026-08-10T20:19:53.823Z</dcterms:created>
  <dcterms:modified xsi:type="dcterms:W3CDTF">2026-08-10T20:19:53.824Z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