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DFG Walter Benjamin Programme</w:t>
      </w:r>
    </w:p>
    <w:p>
      <w:pPr>
        <w:pStyle w:val="Title"/>
      </w:pPr>
      <w:r>
        <w:t xml:space="preserve">Covalency as an Experimental Descriptor of Memristive Switching: the La1-xSrxFeO3-δ Series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6672"/>
      </w:tblGrid>
      <w:tr>
        <w:tc>
          <w:tcPr>
            <w:tcW w:type="dxa" w:w="2400"/>
            <w:shd w:fill="EEF1F5" w:val="clear"/>
            <w:tcMar>
              <w:top w:type="dxa" w:w="50"/>
              <w:left w:type="dxa" w:w="90"/>
              <w:bottom w:type="dxa" w:w="50"/>
              <w:right w:type="dxa" w:w="90"/>
            </w:tcMar>
          </w:tcPr>
          <w:p>
            <w:r>
              <w:rPr>
                <w:b/>
                <w:bCs/>
                <w:sz w:val="19"/>
                <w:szCs w:val="19"/>
              </w:rPr>
              <w:t xml:space="preserve">Applicant</w:t>
            </w:r>
          </w:p>
        </w:tc>
        <w:tc>
          <w:tcPr>
            <w:tcW w:type="dxa" w:w="6672"/>
            <w:tcMar>
              <w:top w:type="dxa" w:w="50"/>
              <w:left w:type="dxa" w:w="90"/>
              <w:bottom w:type="dxa" w:w="50"/>
              <w:right w:type="dxa" w:w="90"/>
            </w:tcMar>
          </w:tcPr>
          <w:p>
            <w:r>
              <w:rPr>
                <w:b w:val="false"/>
                <w:bCs w:val="false"/>
                <w:sz w:val="19"/>
                <w:szCs w:val="19"/>
              </w:rPr>
              <w:t xml:space="preserve">Dr. Max Buczek, Postdoctoral Researcher, Peter Grünberg Institute (PGI-7), Forschungszentrum Jülich, Germany</w:t>
            </w:r>
          </w:p>
        </w:tc>
      </w:tr>
      <w:tr>
        <w:tc>
          <w:tcPr>
            <w:tcW w:type="dxa" w:w="2400"/>
            <w:shd w:fill="EEF1F5" w:val="clear"/>
            <w:tcMar>
              <w:top w:type="dxa" w:w="50"/>
              <w:left w:type="dxa" w:w="90"/>
              <w:bottom w:type="dxa" w:w="50"/>
              <w:right w:type="dxa" w:w="90"/>
            </w:tcMar>
          </w:tcPr>
          <w:p>
            <w:r>
              <w:rPr>
                <w:b/>
                <w:bCs/>
                <w:sz w:val="19"/>
                <w:szCs w:val="19"/>
              </w:rPr>
              <w:t xml:space="preserve">Host abroad</w:t>
            </w:r>
          </w:p>
        </w:tc>
        <w:tc>
          <w:tcPr>
            <w:tcW w:type="dxa" w:w="6672"/>
            <w:tcMar>
              <w:top w:type="dxa" w:w="50"/>
              <w:left w:type="dxa" w:w="90"/>
              <w:bottom w:type="dxa" w:w="50"/>
              <w:right w:type="dxa" w:w="90"/>
            </w:tcMar>
          </w:tcPr>
          <w:p>
            <w:r>
              <w:rPr>
                <w:b w:val="false"/>
                <w:bCs w:val="false"/>
                <w:sz w:val="19"/>
                <w:szCs w:val="19"/>
              </w:rPr>
              <w:t xml:space="preserve">Prof. Dr. William C. Chueh, Department of Materials Science and Engineering, Stanford University, USA (Stanford Synchrotron Radiation Lightsource, SSRL)</w:t>
            </w:r>
          </w:p>
        </w:tc>
      </w:tr>
      <w:tr>
        <w:tc>
          <w:tcPr>
            <w:tcW w:type="dxa" w:w="2400"/>
            <w:shd w:fill="EEF1F5" w:val="clear"/>
            <w:tcMar>
              <w:top w:type="dxa" w:w="50"/>
              <w:left w:type="dxa" w:w="90"/>
              <w:bottom w:type="dxa" w:w="50"/>
              <w:right w:type="dxa" w:w="90"/>
            </w:tcMar>
          </w:tcPr>
          <w:p>
            <w:r>
              <w:rPr>
                <w:b/>
                <w:bCs/>
                <w:sz w:val="19"/>
                <w:szCs w:val="19"/>
              </w:rPr>
              <w:t xml:space="preserve">German / European host</w:t>
            </w:r>
          </w:p>
        </w:tc>
        <w:tc>
          <w:tcPr>
            <w:tcW w:type="dxa" w:w="6672"/>
            <w:tcMar>
              <w:top w:type="dxa" w:w="50"/>
              <w:left w:type="dxa" w:w="90"/>
              <w:bottom w:type="dxa" w:w="50"/>
              <w:right w:type="dxa" w:w="90"/>
            </w:tcMar>
          </w:tcPr>
          <w:p>
            <w:r>
              <w:rPr>
                <w:b w:val="false"/>
                <w:bCs w:val="false"/>
                <w:sz w:val="19"/>
                <w:szCs w:val="19"/>
              </w:rPr>
              <w:t xml:space="preserve">[RWTH Aachen University or Forschungszentrum Jülich – to be fixed; hosts the return/reintegration phase where applicable]</w:t>
            </w:r>
          </w:p>
        </w:tc>
      </w:tr>
      <w:tr>
        <w:tc>
          <w:tcPr>
            <w:tcW w:type="dxa" w:w="2400"/>
            <w:shd w:fill="EEF1F5" w:val="clear"/>
            <w:tcMar>
              <w:top w:type="dxa" w:w="50"/>
              <w:left w:type="dxa" w:w="90"/>
              <w:bottom w:type="dxa" w:w="50"/>
              <w:right w:type="dxa" w:w="90"/>
            </w:tcMar>
          </w:tcPr>
          <w:p>
            <w:r>
              <w:rPr>
                <w:b/>
                <w:bCs/>
                <w:sz w:val="19"/>
                <w:szCs w:val="19"/>
              </w:rPr>
              <w:t xml:space="preserve">Duration</w:t>
            </w:r>
          </w:p>
        </w:tc>
        <w:tc>
          <w:tcPr>
            <w:tcW w:type="dxa" w:w="6672"/>
            <w:tcMar>
              <w:top w:type="dxa" w:w="50"/>
              <w:left w:type="dxa" w:w="90"/>
              <w:bottom w:type="dxa" w:w="50"/>
              <w:right w:type="dxa" w:w="90"/>
            </w:tcMar>
          </w:tcPr>
          <w:p>
            <w:r>
              <w:rPr>
                <w:b w:val="false"/>
                <w:bCs w:val="false"/>
                <w:sz w:val="19"/>
                <w:szCs w:val="19"/>
              </w:rPr>
              <w:t xml:space="preserve">24 months (+ return module)</w:t>
            </w:r>
          </w:p>
        </w:tc>
      </w:tr>
      <w:tr>
        <w:tc>
          <w:tcPr>
            <w:tcW w:type="dxa" w:w="2400"/>
            <w:shd w:fill="EEF1F5" w:val="clear"/>
            <w:tcMar>
              <w:top w:type="dxa" w:w="50"/>
              <w:left w:type="dxa" w:w="90"/>
              <w:bottom w:type="dxa" w:w="50"/>
              <w:right w:type="dxa" w:w="90"/>
            </w:tcMar>
          </w:tcPr>
          <w:p>
            <w:r>
              <w:rPr>
                <w:b/>
                <w:bCs/>
                <w:sz w:val="19"/>
                <w:szCs w:val="19"/>
              </w:rPr>
              <w:t xml:space="preserve">Format</w:t>
            </w:r>
          </w:p>
        </w:tc>
        <w:tc>
          <w:tcPr>
            <w:tcW w:type="dxa" w:w="6672"/>
            <w:tcMar>
              <w:top w:type="dxa" w:w="50"/>
              <w:left w:type="dxa" w:w="90"/>
              <w:bottom w:type="dxa" w:w="50"/>
              <w:right w:type="dxa" w:w="90"/>
            </w:tcMar>
          </w:tcPr>
          <w:p>
            <w:r>
              <w:rPr>
                <w:b w:val="false"/>
                <w:bCs w:val="false"/>
                <w:sz w:val="19"/>
                <w:szCs w:val="19"/>
              </w:rPr>
              <w:t xml:space="preserve">Walter Benjamin fellowship for a 24-month stay abroad (Stanford University / SLAC); monthly stipend plus allowances [insert current DFG rates]; on return, DFG return funding (up to 12 months, position in Germany) [verify current terms]</w:t>
            </w:r>
          </w:p>
        </w:tc>
      </w:tr>
      <w:tr>
        <w:tc>
          <w:tcPr>
            <w:tcW w:type="dxa" w:w="2400"/>
            <w:shd w:fill="EEF1F5" w:val="clear"/>
            <w:tcMar>
              <w:top w:type="dxa" w:w="50"/>
              <w:left w:type="dxa" w:w="90"/>
              <w:bottom w:type="dxa" w:w="50"/>
              <w:right w:type="dxa" w:w="90"/>
            </w:tcMar>
          </w:tcPr>
          <w:p>
            <w:r>
              <w:rPr>
                <w:b/>
                <w:bCs/>
                <w:sz w:val="19"/>
                <w:szCs w:val="19"/>
              </w:rPr>
              <w:t xml:space="preserve">Funding body</w:t>
            </w:r>
          </w:p>
        </w:tc>
        <w:tc>
          <w:tcPr>
            <w:tcW w:type="dxa" w:w="6672"/>
            <w:tcMar>
              <w:top w:type="dxa" w:w="50"/>
              <w:left w:type="dxa" w:w="90"/>
              <w:bottom w:type="dxa" w:w="50"/>
              <w:right w:type="dxa" w:w="90"/>
            </w:tcMar>
          </w:tcPr>
          <w:p>
            <w:r>
              <w:rPr>
                <w:b w:val="false"/>
                <w:bCs w:val="false"/>
                <w:sz w:val="19"/>
                <w:szCs w:val="19"/>
              </w:rPr>
              <w:t xml:space="preserve">DFG</w:t>
            </w:r>
          </w:p>
        </w:tc>
      </w:tr>
      <w:tr>
        <w:tc>
          <w:tcPr>
            <w:tcW w:type="dxa" w:w="2400"/>
            <w:shd w:fill="EEF1F5" w:val="clear"/>
            <w:tcMar>
              <w:top w:type="dxa" w:w="50"/>
              <w:left w:type="dxa" w:w="90"/>
              <w:bottom w:type="dxa" w:w="50"/>
              <w:right w:type="dxa" w:w="90"/>
            </w:tcMar>
          </w:tcPr>
          <w:p>
            <w:r>
              <w:rPr>
                <w:b/>
                <w:bCs/>
                <w:sz w:val="19"/>
                <w:szCs w:val="19"/>
              </w:rPr>
              <w:t xml:space="preserve">Eligibility</w:t>
            </w:r>
          </w:p>
        </w:tc>
        <w:tc>
          <w:tcPr>
            <w:tcW w:type="dxa" w:w="6672"/>
            <w:tcMar>
              <w:top w:type="dxa" w:w="50"/>
              <w:left w:type="dxa" w:w="90"/>
              <w:bottom w:type="dxa" w:w="50"/>
              <w:right w:type="dxa" w:w="90"/>
            </w:tcMar>
          </w:tcPr>
          <w:p>
            <w:r>
              <w:rPr>
                <w:b w:val="false"/>
                <w:bCs w:val="false"/>
                <w:sz w:val="19"/>
                <w:szCs w:val="19"/>
              </w:rPr>
              <w:t xml:space="preserve">Early postdoctoral career phase; application possible at any time (no deadlines)</w:t>
            </w:r>
          </w:p>
        </w:tc>
      </w:tr>
      <w:tr>
        <w:tc>
          <w:tcPr>
            <w:tcW w:type="dxa" w:w="2400"/>
            <w:shd w:fill="EEF1F5" w:val="clear"/>
            <w:tcMar>
              <w:top w:type="dxa" w:w="50"/>
              <w:left w:type="dxa" w:w="90"/>
              <w:bottom w:type="dxa" w:w="50"/>
              <w:right w:type="dxa" w:w="90"/>
            </w:tcMar>
          </w:tcPr>
          <w:p>
            <w:r>
              <w:rPr>
                <w:b/>
                <w:bCs/>
                <w:sz w:val="19"/>
                <w:szCs w:val="19"/>
              </w:rPr>
              <w:t xml:space="preserve">Application</w:t>
            </w:r>
          </w:p>
        </w:tc>
        <w:tc>
          <w:tcPr>
            <w:tcW w:type="dxa" w:w="6672"/>
            <w:tcMar>
              <w:top w:type="dxa" w:w="50"/>
              <w:left w:type="dxa" w:w="90"/>
              <w:bottom w:type="dxa" w:w="50"/>
              <w:right w:type="dxa" w:w="90"/>
            </w:tcMar>
          </w:tcPr>
          <w:p>
            <w:r>
              <w:rPr>
                <w:b w:val="false"/>
                <w:bCs w:val="false"/>
                <w:sz w:val="19"/>
                <w:szCs w:val="19"/>
              </w:rPr>
              <w:t xml:space="preserve">DFG proposal format (project description, CV, host confirmation), via elan portal</w:t>
            </w:r>
          </w:p>
        </w:tc>
      </w:tr>
      <w:tr>
        <w:tc>
          <w:tcPr>
            <w:tcW w:type="dxa" w:w="2400"/>
            <w:shd w:fill="EEF1F5" w:val="clear"/>
            <w:tcMar>
              <w:top w:type="dxa" w:w="50"/>
              <w:left w:type="dxa" w:w="90"/>
              <w:bottom w:type="dxa" w:w="50"/>
              <w:right w:type="dxa" w:w="90"/>
            </w:tcMar>
          </w:tcPr>
          <w:p>
            <w:r>
              <w:rPr>
                <w:b/>
                <w:bCs/>
                <w:sz w:val="19"/>
                <w:szCs w:val="19"/>
              </w:rPr>
              <w:t xml:space="preserve">Special feature</w:t>
            </w:r>
          </w:p>
        </w:tc>
        <w:tc>
          <w:tcPr>
            <w:tcW w:type="dxa" w:w="6672"/>
            <w:tcMar>
              <w:top w:type="dxa" w:w="50"/>
              <w:left w:type="dxa" w:w="90"/>
              <w:bottom w:type="dxa" w:w="50"/>
              <w:right w:type="dxa" w:w="90"/>
            </w:tcMar>
          </w:tcPr>
          <w:p>
            <w:r>
              <w:rPr>
                <w:b w:val="false"/>
                <w:bCs w:val="false"/>
                <w:sz w:val="19"/>
                <w:szCs w:val="19"/>
              </w:rPr>
              <w:t xml:space="preserve">Same funding organisation as the planned Emmy Noether group – one continuous DFG track from pilot to group</w:t>
            </w:r>
          </w:p>
        </w:tc>
      </w:tr>
    </w:tbl>
    <w:p>
      <w:pPr>
        <w:spacing w:after="120"/>
      </w:pPr>
      <w:r>
        <w:rPr>
          <w:i/>
          <w:iCs/>
          <w:sz w:val="18"/>
          <w:szCs w:val="18"/>
        </w:rPr>
        <w:t xml:space="preserve">Standalone draft proposal for this funding line (status 09.08.2026). Only one of the parallel programme drafts of this folder will be pursued for the research stay – check each funder’s double-funding rules before submission. Materials selection follows the portfolio’s three-criterion evidence logic; all cited references are individually verified against publisher records (see Literaturpruefung_2026-08-09 and Materialscreening_2026-08-09).</w:t>
      </w:r>
    </w:p>
    <w:p>
      <w:pPr>
        <w:pStyle w:val="Heading1"/>
        <w:spacing w:after="120" w:before="240"/>
      </w:pPr>
      <w:r>
        <w:t xml:space="preserve">1  Research question and scientific significance</w:t>
      </w:r>
    </w:p>
    <w:p>
      <w:pPr>
        <w:spacing w:after="120"/>
      </w:pPr>
      <w:r>
        <w:t xml:space="preserve">Memristive devices based on the valence change mechanism (VCM) switch their resistance through field-driven creation and migration of oxygen vacancies (VO) [1–3]. The oxygen-vacancy formation energy (EV) enters all quantitative switching models exponentially [3, 4] – and yet it has never been measured systematically how EV determines the central figures of merit (ON/OFF ratio, forming voltage, retention). Energy research, by contrast, has quantitatively established that EV in perovskites is controlled by the metal–oxygen covalency: the O-2p band centre scales linearly with EV and serves as a descriptor for catalysis and oxygen transport [5–8]. My project connects these two worlds experimentally for the first time – using the ideally suited model series La1-xSrxFeO3-δ (LSFO).</w:t>
      </w:r>
    </w:p>
    <w:p>
      <w:pPr>
        <w:spacing w:after="120"/>
      </w:pPr>
      <w:r>
        <w:t xml:space="preserve">LSFO is the perfect test system: substituting La3+ by Sr2+ lowers EV continuously from about 4 eV (x = 0) to below 1 eV (x = 0.5) [9] – with the SrFeO3 end member similarly reducible [22] – and increases the Fe–O covalency measurably in the O-K pre-edge of X-ray absorption [10, 11] – at unchanged perovskite structure. Both end members are documented switching materials: SrFeO3-δ/SrFeO2.5 switches topotactically – under inert Au/SrRuO3 electrode stacks – with ON/OFF ratios around 104 [12, 13], while LaFeO3, a robust insulator, is only rudimentarily switching-active [14, 23]. For the intermediate compositions, however, not a single memristor study exists – a gap secured by my systematic literature analysis. The closest existing work controls the conductivity of La0.5Sr0.5FeO3-δ electrochemically over four orders of magnitude [15], demonstrating feasibility without answering the memristor question. The few stoichiometry-dependent switching studies on related manganites consistently show a non-monotonic optimum of the switching window with doping [16, 17] – my central hypothesis is therefore that the usable switching window of LSFO is maximal at intermediate covalency (“Goldilocks zone”) and that this position can be predicted from the XAS covalency descriptor. Because switching under inert electrode stacks is already demonstrated at the Sr-rich end, the unexplored intermediate series is an optimisation space rather than a feasibility risk: the project both maps the covalency correlation and optimises the switching window via the Sr content. A known design constraint is addressed head-on: near the Sr-rich end member the switching mechanism changes character (topotactic brownmillerite transition [12, 13]) – the series therefore doubles as a controlled approach to a mechanism boundary, which is itself charted rather than avoided.</w:t>
      </w:r>
    </w:p>
    <w:p>
      <w:pPr>
        <w:spacing w:after="120"/>
      </w:pPr>
      <w:r>
        <w:t xml:space="preserve">Conceptual footing (sharpened after expert feedback, 08/2026): throughout this project, “covalency” is used in the quantitative sense of the charge-transfer/cluster-model framework – charge-transfer energy Δ, on-site Coulomb energy U and transfer integrals, in the Zaanen–Sawatzky–Allen classification [24] and as extracted compound by compound by the configuration-interaction analyses of Fujimori, Bocquet, Saitoh, Sarma and co-workers [25–28]. O-K pre-edge intensities serve as a relative, series-internal hybridisation measure only; their limits as an absolute covalency scale (core-hole effects, ligand-hole distribution, band effects) are treated explicitly [29], and the conflation of hybridisation with covalency that is common in the catalysis-descriptor literature is deliberately avoided – the descriptor scale of this project is calibrated against cluster-model analysis, not against pre-edge intensity alone.</w:t>
      </w:r>
    </w:p>
    <w:p>
      <w:pPr>
        <w:pStyle w:val="Heading1"/>
        <w:spacing w:after="120" w:before="240"/>
      </w:pPr>
      <w:r>
        <w:t xml:space="preserve">2  Programme fit and strategy</w:t>
      </w:r>
    </w:p>
    <w:p>
      <w:pPr>
        <w:spacing w:after="120"/>
      </w:pPr>
      <w:r>
        <w:t xml:space="preserve">The Walter Benjamin Programme funds the project as a 24-month fellowship at the place best suited to it – the Chueh group at Stanford – and its return module (up to 12 months, position in Germany) bridges directly into the Emmy Noether application: reviewers see the entire path (pilot project → return → junior research group) within one funding organisation, with the COMET-Ox group proposal as the declared perspective.</w:t>
      </w:r>
    </w:p>
    <w:p>
      <w:pPr>
        <w:pStyle w:val="Heading1"/>
        <w:spacing w:after="120" w:before="240"/>
      </w:pPr>
      <w:r>
        <w:t xml:space="preserve">3  Why the Chueh group at Stanford is the ideal place</w:t>
      </w:r>
    </w:p>
    <w:p>
      <w:pPr>
        <w:spacing w:after="120"/>
      </w:pPr>
      <w:r>
        <w:t xml:space="preserve">The group of Prof. William Chueh is a world leader in exactly the combination this project requires: defect chemistry and non-stoichiometry of redox-active oxides, quantitative operando X-ray absorption spectroscopy at the in-house Stanford Synchrotron Radiation Lightsource (SSRL), and redox chemistry of epitaxial perovskite thin films [18–20]. The group’s seminal work on the redox activity of oxygen anions in oxygen-deficient perovskites [19] is a direct methodological blueprint for my project; the Nature Materials study on atomically defined LaNiO3 surfaces [20] – with Christoph Baeumer from the Jülich school as first author – furthermore demonstrates that the group routinely masters epitaxial perovskite model systems of the type proposed here and successfully integrates German postdocs. Direct SSRL access makes XAS campaigns plannable that in Europe cost months of lead time through competitive single proposals. Complementarily, I contribute the device side, from which the Stanford environment profits in turn: PLD process development, memristive device processing and statistically robust switching characterisation from five years at the Peter Grünberg Institute (PGI-7, group of Prof. Dittmann) [E1–E3]. The constellation is thus a genuine two-way transfer of knowledge. For complementary epitaxial growth questions, the environment of the Stanford Institute for Materials and Energy Sciences (SIMES) at SLAC is available. [Host choice under review after first-hand feedback (08/2026): the Chueh group’s own perovskite/oxide-redox activities have largely moved on; the relevant lines are continued in alumni groups – C. Baeumer (University of Twente), Q. Lu (Westlake University), J. T. Mefford, D. Chen. If XAS quantification is the methodological core, a host with direct synchrotron access (e.g. PSI/SLS, MAX IV, Diamond, or a beamline-affiliated group) is a serious alternative. Re-validate and, if necessary, rewrite this section before submission.]</w:t>
      </w:r>
    </w:p>
    <w:p>
      <w:pPr>
        <w:pStyle w:val="Heading1"/>
        <w:spacing w:after="120" w:before="240"/>
      </w:pPr>
      <w:r>
        <w:t xml:space="preserve">4  Work programme</w:t>
      </w:r>
    </w:p>
    <w:p>
      <w:pPr>
        <w:spacing w:after="120"/>
      </w:pPr>
      <w:r>
        <w:rPr>
          <w:b/>
          <w:bCs/>
        </w:rPr>
        <w:t xml:space="preserve">WP1 – Synthesis and descriptor measurement of the LSFO series (months 1–10)</w:t>
      </w:r>
    </w:p>
    <w:p>
      <w:pPr>
        <w:spacing w:after="120"/>
      </w:pPr>
      <w:r>
        <w:t xml:space="preserve">PLD growth of epitaxial La1-xSrxFeO3-δ films (x = 0; 0.2; 0.33; 0.5; 0.67; 1) on Nb:SrTiO3 substrates in the Stanford/SLAC thin-film laboratories; structural validation (XRD, AFM); determination of cation and oxygen stoichiometry (XPS, RBS where required). In parallel, first XAS campaign at SSRL: O-K pre-edge quantification following the procedure of Suntivich et al. [11] and Fe-L2,3 valence analysis for every composition → experimental covalency scale of the series. Milestone M1 (month 10): validated sample series with complete descriptor set.</w:t>
      </w:r>
    </w:p>
    <w:p>
      <w:pPr>
        <w:spacing w:after="120"/>
      </w:pPr>
      <w:r>
        <w:rPr>
          <w:b/>
          <w:bCs/>
        </w:rPr>
        <w:t xml:space="preserve">WP2 – Devices and switching characterisation (months 8–18)</w:t>
      </w:r>
    </w:p>
    <w:p>
      <w:pPr>
        <w:spacing w:after="120"/>
      </w:pPr>
      <w:r>
        <w:t xml:space="preserve">Processing of identical Pt/LSFO/Nb:SrTiO3 cell arrays (≥ 30 cells per composition) with photolithographic patterning; quasistatic and pulsed switching characterisation following the statistics protocol established in my doctorate (ON/OFF at defined read-out voltage, forming requirement, switching kinetics, temperature-accelerated retention, endurance). Milestone M2 (month 18): switching figures of merit as a function of x with robust statistics.</w:t>
      </w:r>
    </w:p>
    <w:p>
      <w:pPr>
        <w:spacing w:after="120"/>
      </w:pPr>
      <w:r>
        <w:rPr>
          <w:b/>
          <w:bCs/>
        </w:rPr>
        <w:t xml:space="preserve">WP3 – Correlation, operando validation and publication (months 16–24)</w:t>
      </w:r>
    </w:p>
    <w:p>
      <w:pPr>
        <w:spacing w:after="120"/>
      </w:pPr>
      <w:r>
        <w:t xml:space="preserve">Correlation analysis covalency (XAS) ↔ EV (literature DFT [9]) ↔ switching metrics; test of the optimum hypothesis. Second SSRL campaign: XAS on switched cells (ex-situ before/after switching, operando if successful) to verify that the composition-dependent differences indeed rest on different VO dynamics. Publication of the first covalency-resolved memristor study of a perovskite series; dataset released following FAIR principles. Milestone M3 (month 24): submitted publication(s), public dataset.</w:t>
      </w:r>
    </w:p>
    <w:p>
      <w:pPr>
        <w:pStyle w:val="Heading1"/>
        <w:spacing w:after="120" w:before="240"/>
      </w:pPr>
      <w:r>
        <w:t xml:space="preserve">5  Timeline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72"/>
        <w:gridCol w:w="775"/>
        <w:gridCol w:w="775"/>
        <w:gridCol w:w="775"/>
        <w:gridCol w:w="775"/>
        <w:gridCol w:w="775"/>
        <w:gridCol w:w="775"/>
        <w:gridCol w:w="775"/>
        <w:gridCol w:w="775"/>
      </w:tblGrid>
      <w:tr>
        <w:tc>
          <w:tcPr>
            <w:tcW w:type="dxa" w:w="2872"/>
            <w:shd w:fill="EEF1F5" w:val="clear"/>
            <w:tcMar>
              <w:top w:type="dxa" w:w="50"/>
              <w:left w:type="dxa" w:w="90"/>
              <w:bottom w:type="dxa" w:w="50"/>
              <w:right w:type="dxa" w:w="90"/>
            </w:tcMar>
          </w:tcPr>
          <w:p>
            <w:r>
              <w:rPr>
                <w:b/>
                <w:bCs/>
                <w:sz w:val="19"/>
                <w:szCs w:val="19"/>
              </w:rPr>
              <w:t xml:space="preserve">Work package</w:t>
            </w:r>
          </w:p>
        </w:tc>
        <w:tc>
          <w:tcPr>
            <w:tcW w:type="dxa" w:w="775"/>
            <w:shd w:fill="EEF1F5" w:val="clear"/>
            <w:tcMar>
              <w:top w:type="dxa" w:w="50"/>
              <w:left w:type="dxa" w:w="90"/>
              <w:bottom w:type="dxa" w:w="50"/>
              <w:right w:type="dxa" w:w="90"/>
            </w:tcMar>
          </w:tcPr>
          <w:p>
            <w:r>
              <w:rPr>
                <w:b/>
                <w:bCs/>
                <w:sz w:val="19"/>
                <w:szCs w:val="19"/>
              </w:rPr>
              <w:t xml:space="preserve">Q1</w:t>
            </w:r>
          </w:p>
        </w:tc>
        <w:tc>
          <w:tcPr>
            <w:tcW w:type="dxa" w:w="775"/>
            <w:shd w:fill="EEF1F5" w:val="clear"/>
            <w:tcMar>
              <w:top w:type="dxa" w:w="50"/>
              <w:left w:type="dxa" w:w="90"/>
              <w:bottom w:type="dxa" w:w="50"/>
              <w:right w:type="dxa" w:w="90"/>
            </w:tcMar>
          </w:tcPr>
          <w:p>
            <w:r>
              <w:rPr>
                <w:b/>
                <w:bCs/>
                <w:sz w:val="19"/>
                <w:szCs w:val="19"/>
              </w:rPr>
              <w:t xml:space="preserve">Q2</w:t>
            </w:r>
          </w:p>
        </w:tc>
        <w:tc>
          <w:tcPr>
            <w:tcW w:type="dxa" w:w="775"/>
            <w:shd w:fill="EEF1F5" w:val="clear"/>
            <w:tcMar>
              <w:top w:type="dxa" w:w="50"/>
              <w:left w:type="dxa" w:w="90"/>
              <w:bottom w:type="dxa" w:w="50"/>
              <w:right w:type="dxa" w:w="90"/>
            </w:tcMar>
          </w:tcPr>
          <w:p>
            <w:r>
              <w:rPr>
                <w:b/>
                <w:bCs/>
                <w:sz w:val="19"/>
                <w:szCs w:val="19"/>
              </w:rPr>
              <w:t xml:space="preserve">Q3</w:t>
            </w:r>
          </w:p>
        </w:tc>
        <w:tc>
          <w:tcPr>
            <w:tcW w:type="dxa" w:w="775"/>
            <w:shd w:fill="EEF1F5" w:val="clear"/>
            <w:tcMar>
              <w:top w:type="dxa" w:w="50"/>
              <w:left w:type="dxa" w:w="90"/>
              <w:bottom w:type="dxa" w:w="50"/>
              <w:right w:type="dxa" w:w="90"/>
            </w:tcMar>
          </w:tcPr>
          <w:p>
            <w:r>
              <w:rPr>
                <w:b/>
                <w:bCs/>
                <w:sz w:val="19"/>
                <w:szCs w:val="19"/>
              </w:rPr>
              <w:t xml:space="preserve">Q4</w:t>
            </w:r>
          </w:p>
        </w:tc>
        <w:tc>
          <w:tcPr>
            <w:tcW w:type="dxa" w:w="775"/>
            <w:shd w:fill="EEF1F5" w:val="clear"/>
            <w:tcMar>
              <w:top w:type="dxa" w:w="50"/>
              <w:left w:type="dxa" w:w="90"/>
              <w:bottom w:type="dxa" w:w="50"/>
              <w:right w:type="dxa" w:w="90"/>
            </w:tcMar>
          </w:tcPr>
          <w:p>
            <w:r>
              <w:rPr>
                <w:b/>
                <w:bCs/>
                <w:sz w:val="19"/>
                <w:szCs w:val="19"/>
              </w:rPr>
              <w:t xml:space="preserve">Q5</w:t>
            </w:r>
          </w:p>
        </w:tc>
        <w:tc>
          <w:tcPr>
            <w:tcW w:type="dxa" w:w="775"/>
            <w:shd w:fill="EEF1F5" w:val="clear"/>
            <w:tcMar>
              <w:top w:type="dxa" w:w="50"/>
              <w:left w:type="dxa" w:w="90"/>
              <w:bottom w:type="dxa" w:w="50"/>
              <w:right w:type="dxa" w:w="90"/>
            </w:tcMar>
          </w:tcPr>
          <w:p>
            <w:r>
              <w:rPr>
                <w:b/>
                <w:bCs/>
                <w:sz w:val="19"/>
                <w:szCs w:val="19"/>
              </w:rPr>
              <w:t xml:space="preserve">Q6</w:t>
            </w:r>
          </w:p>
        </w:tc>
        <w:tc>
          <w:tcPr>
            <w:tcW w:type="dxa" w:w="775"/>
            <w:shd w:fill="EEF1F5" w:val="clear"/>
            <w:tcMar>
              <w:top w:type="dxa" w:w="50"/>
              <w:left w:type="dxa" w:w="90"/>
              <w:bottom w:type="dxa" w:w="50"/>
              <w:right w:type="dxa" w:w="90"/>
            </w:tcMar>
          </w:tcPr>
          <w:p>
            <w:r>
              <w:rPr>
                <w:b/>
                <w:bCs/>
                <w:sz w:val="19"/>
                <w:szCs w:val="19"/>
              </w:rPr>
              <w:t xml:space="preserve">Q7</w:t>
            </w:r>
          </w:p>
        </w:tc>
        <w:tc>
          <w:tcPr>
            <w:tcW w:type="dxa" w:w="775"/>
            <w:shd w:fill="EEF1F5" w:val="clear"/>
            <w:tcMar>
              <w:top w:type="dxa" w:w="50"/>
              <w:left w:type="dxa" w:w="90"/>
              <w:bottom w:type="dxa" w:w="50"/>
              <w:right w:type="dxa" w:w="90"/>
            </w:tcMar>
          </w:tcPr>
          <w:p>
            <w:r>
              <w:rPr>
                <w:b/>
                <w:bCs/>
                <w:sz w:val="19"/>
                <w:szCs w:val="19"/>
              </w:rPr>
              <w:t xml:space="preserve">Q8</w:t>
            </w:r>
          </w:p>
        </w:tc>
      </w:tr>
      <w:tr>
        <w:tc>
          <w:tcPr>
            <w:tcW w:type="dxa" w:w="2872"/>
            <w:tcMar>
              <w:top w:type="dxa" w:w="50"/>
              <w:left w:type="dxa" w:w="90"/>
              <w:bottom w:type="dxa" w:w="50"/>
              <w:right w:type="dxa" w:w="90"/>
            </w:tcMar>
          </w:tcPr>
          <w:p>
            <w:r>
              <w:rPr>
                <w:b w:val="false"/>
                <w:bCs w:val="false"/>
                <w:sz w:val="19"/>
                <w:szCs w:val="19"/>
              </w:rPr>
              <w:t xml:space="preserve">WP1 Synthesis + XAS descriptors</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WP2 Devices + switching statistics</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r>
      <w:tr>
        <w:tc>
          <w:tcPr>
            <w:tcW w:type="dxa" w:w="2872"/>
            <w:tcMar>
              <w:top w:type="dxa" w:w="50"/>
              <w:left w:type="dxa" w:w="90"/>
              <w:bottom w:type="dxa" w:w="50"/>
              <w:right w:type="dxa" w:w="90"/>
            </w:tcMar>
          </w:tcPr>
          <w:p>
            <w:r>
              <w:rPr>
                <w:b w:val="false"/>
                <w:bCs w:val="false"/>
                <w:sz w:val="19"/>
                <w:szCs w:val="19"/>
              </w:rPr>
              <w:t xml:space="preserve">WP3 Correlation + operando + publication</w:t>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c>
          <w:tcPr>
            <w:tcW w:type="dxa" w:w="775"/>
            <w:tcMar>
              <w:top w:type="dxa" w:w="50"/>
              <w:left w:type="dxa" w:w="90"/>
              <w:bottom w:type="dxa" w:w="50"/>
              <w:right w:type="dxa" w:w="90"/>
            </w:tcMar>
          </w:tcPr>
          <w:p>
            <w:r>
              <w:rPr>
                <w:b w:val="false"/>
                <w:bCs w:val="false"/>
                <w:sz w:val="19"/>
                <w:szCs w:val="19"/>
              </w:rPr>
              <w:t xml:space="preserve">■</w:t>
            </w:r>
          </w:p>
        </w:tc>
      </w:tr>
    </w:tbl>
    <w:p>
      <w:pPr>
        <w:pStyle w:val="Heading1"/>
        <w:spacing w:after="120" w:before="240"/>
      </w:pPr>
      <w:r>
        <w:t xml:space="preserve">6  Career perspective</w:t>
      </w:r>
    </w:p>
    <w:p>
      <w:pPr>
        <w:spacing w:after="120"/>
      </w:pPr>
      <w:r>
        <w:t xml:space="preserve">The project is the building block between the applicant’s doctorate (memristive devices, PLD, switching statistics) and the goal of an own junior research group in Germany on descriptor-based materials development for memristive oxides. The Walter Benjamin fellowship funds the 24-month stay; the DFG return module is used for reintegration into the German oxide-electronics environment (FZ Jülich/RWTH Aachen, JARA) and for submission of the Emmy Noether proposal – one continuous DFG track. The choice of LSFO is deliberate: the series with the largest documented EV span and switching-proven end members becomes the first covalency-resolved composition series of the planned group programme. The Stanford/SSRL collaboration will be continued as the transatlantic bridge of the future group.</w:t>
      </w:r>
    </w:p>
    <w:p>
      <w:pPr>
        <w:pStyle w:val="Heading1"/>
        <w:spacing w:after="120" w:before="240"/>
      </w:pPr>
      <w:r>
        <w:t xml:space="preserve">7  References</w:t>
      </w:r>
    </w:p>
    <w:p>
      <w:pPr>
        <w:spacing w:after="120"/>
      </w:pPr>
      <w:r>
        <w:rPr>
          <w:sz w:val="18"/>
          <w:szCs w:val="18"/>
        </w:rPr>
        <w:t xml:space="preserve">[1] R. Waser, M. Aono, Nanoionics-based resistive switching memories. Nature Materials 6, 833–840 (2007).</w:t>
      </w:r>
    </w:p>
    <w:p>
      <w:pPr>
        <w:spacing w:after="120"/>
      </w:pPr>
      <w:r>
        <w:rPr>
          <w:sz w:val="18"/>
          <w:szCs w:val="18"/>
        </w:rPr>
        <w:t xml:space="preserve">[2] R. Waser, R. Dittmann, G. Staikov, K. Szot, Redox-Based Resistive Switching Memories – Nanoionic Mechanisms, Prospects, and Challenges. Advanced Materials 21, 2632–2663 (2009).</w:t>
      </w:r>
    </w:p>
    <w:p>
      <w:pPr>
        <w:spacing w:after="120"/>
      </w:pPr>
      <w:r>
        <w:rPr>
          <w:sz w:val="18"/>
          <w:szCs w:val="18"/>
        </w:rPr>
        <w:t xml:space="preserve">[3] R. Dittmann, S. Menzel, R. Waser, Nanoionic memristive phenomena in metal oxides: the valence change mechanism. Advances in Physics 70, 155–349 (2021).</w:t>
      </w:r>
    </w:p>
    <w:p>
      <w:pPr>
        <w:spacing w:after="120"/>
      </w:pPr>
      <w:r>
        <w:rPr>
          <w:sz w:val="18"/>
          <w:szCs w:val="18"/>
        </w:rPr>
        <w:t xml:space="preserve">[4] S. Menzel, M. Waters, A. Marchewka, U. Böttger, R. Dittmann, R. Waser, Origin of the Ultra-nonlinear Switching Kinetics in Oxide-Based Resistive Switches. Advanced Functional Materials 21, 4487–4492 (2011).</w:t>
      </w:r>
    </w:p>
    <w:p>
      <w:pPr>
        <w:spacing w:after="120"/>
      </w:pPr>
      <w:r>
        <w:rPr>
          <w:sz w:val="18"/>
          <w:szCs w:val="18"/>
        </w:rPr>
        <w:t xml:space="preserve">[5] Y.-L. Lee, J. Kleis, J. Rossmeisl, Y. Shao-Horn, D. Morgan, Prediction of solid oxide fuel cell cathode activity with first-principles descriptors. Energy &amp; Environmental Science 4, 3966–3970 (2011).</w:t>
      </w:r>
    </w:p>
    <w:p>
      <w:pPr>
        <w:spacing w:after="120"/>
      </w:pPr>
      <w:r>
        <w:rPr>
          <w:sz w:val="18"/>
          <w:szCs w:val="18"/>
        </w:rPr>
        <w:t xml:space="preserve">[6] R. Jacobs, J. Hwang, Y. Shao-Horn, D. Morgan, Assessing Correlations of Perovskite Catalytic Performance with Electronic Structure Descriptors. Chemistry of Materials 31, 785–797 (2019).</w:t>
      </w:r>
    </w:p>
    <w:p>
      <w:pPr>
        <w:spacing w:after="120"/>
      </w:pPr>
      <w:r>
        <w:rPr>
          <w:sz w:val="18"/>
          <w:szCs w:val="18"/>
        </w:rPr>
        <w:t xml:space="preserve">[7] A. M. Deml, V. Stevanović, C. L. Muhich, C. B. Musgrave, R. O’Hayre, Oxide enthalpy of formation and band gap energy as accurate descriptors of oxygen vacancy formation energetics. Energy &amp; Environmental Science 7, 1996–2004 (2014).</w:t>
      </w:r>
    </w:p>
    <w:p>
      <w:pPr>
        <w:spacing w:after="120"/>
      </w:pPr>
      <w:r>
        <w:rPr>
          <w:sz w:val="18"/>
          <w:szCs w:val="18"/>
        </w:rPr>
        <w:t xml:space="preserve">[8] R. B. Wexler, G. Sai Gautam, E. B. Stechel, E. A. Carter, Factors Governing Oxygen Vacancy Formation in Oxide Perovskites. Journal of the American Chemical Society 143, 13212–13227 (2021).</w:t>
      </w:r>
    </w:p>
    <w:p>
      <w:pPr>
        <w:spacing w:after="120"/>
      </w:pPr>
      <w:r>
        <w:rPr>
          <w:sz w:val="18"/>
          <w:szCs w:val="18"/>
        </w:rPr>
        <w:t xml:space="preserve">[9] A. M. Ritzmann, A. B. Muñoz-García, M. Pavone, J. A. Keith, E. A. Carter, Ab Initio DFT+U Analysis of Oxygen Vacancy Formation and Migration in La1-xSrxFeO3-δ (x = 0, 0.25, 0.50). Chemistry of Materials 25, 3011–3019 (2013).</w:t>
      </w:r>
    </w:p>
    <w:p>
      <w:pPr>
        <w:spacing w:after="120"/>
      </w:pPr>
      <w:r>
        <w:rPr>
          <w:sz w:val="18"/>
          <w:szCs w:val="18"/>
        </w:rPr>
        <w:t xml:space="preserve">[10] M. Abbate et al., Controlled-valence properties of La1-xSrxFeO3 and La1-xSrxMnO3 studied by soft-x-ray absorption spectroscopy. Physical Review B 46, 4511–4519 (1992).</w:t>
      </w:r>
    </w:p>
    <w:p>
      <w:pPr>
        <w:spacing w:after="120"/>
      </w:pPr>
      <w:r>
        <w:rPr>
          <w:sz w:val="18"/>
          <w:szCs w:val="18"/>
        </w:rPr>
        <w:t xml:space="preserve">[11] J. Suntivich et al., Estimating Hybridization of Transition Metal and Oxygen States in Perovskites from O K-edge X-ray Absorption Spectroscopy. Journal of Physical Chemistry C 118, 1856–1863 (2014).</w:t>
      </w:r>
    </w:p>
    <w:p>
      <w:pPr>
        <w:spacing w:after="120"/>
      </w:pPr>
      <w:r>
        <w:rPr>
          <w:sz w:val="18"/>
          <w:szCs w:val="18"/>
        </w:rPr>
        <w:t xml:space="preserve">[12] V. R. Nallagatla et al., Topotactic Phase Transition Driving Memristive Behavior (SrFeO2.5/SrFeO3). Advanced Materials 31, 1903391 (2019).</w:t>
      </w:r>
    </w:p>
    <w:p>
      <w:pPr>
        <w:spacing w:after="120"/>
      </w:pPr>
      <w:r>
        <w:rPr>
          <w:sz w:val="18"/>
          <w:szCs w:val="18"/>
        </w:rPr>
        <w:t xml:space="preserve">[13] J. Tian et al., Nanoscale Topotactic Phase Transformation in SrFeOx Epitaxial Thin Films for High-Density Resistive Switching Memory. Advanced Materials 31, 1903679 (2019).</w:t>
      </w:r>
    </w:p>
    <w:p>
      <w:pPr>
        <w:spacing w:after="120"/>
      </w:pPr>
      <w:r>
        <w:rPr>
          <w:sz w:val="18"/>
          <w:szCs w:val="18"/>
        </w:rPr>
        <w:t xml:space="preserve">[14] R. K. Aljurays, A. Loucif, A. M. Albadri, Synthesis of LaXO3 (X = Fe, Mn, Cr, Ni) Thin Films Using a Simple Spin Coating Set-Up for Resistive Switching Memory Devices. Electronics 12, 4141 (2023).</w:t>
      </w:r>
    </w:p>
    <w:p>
      <w:pPr>
        <w:spacing w:after="120"/>
      </w:pPr>
      <w:r>
        <w:rPr>
          <w:sz w:val="18"/>
          <w:szCs w:val="18"/>
        </w:rPr>
        <w:t xml:space="preserve">[15] P. Nizet et al., Analog control of La0.5Sr0.5FeO3-δ electrical properties through oxygen deficiency induced magnetic transition. Applied Physics Reviews 11, 041426 (2024).</w:t>
      </w:r>
    </w:p>
    <w:p>
      <w:pPr>
        <w:spacing w:after="120"/>
      </w:pPr>
      <w:r>
        <w:rPr>
          <w:sz w:val="18"/>
          <w:szCs w:val="18"/>
        </w:rPr>
        <w:t xml:space="preserve">[16] S. Asanuma, H. Akoh, H. Yamada, A. Sawa, Relationship between resistive switching characteristics and band diagrams of Ti/Pr1-xCaxMnO3 junctions. Physical Review B 80, 235113 (2009).</w:t>
      </w:r>
    </w:p>
    <w:p>
      <w:pPr>
        <w:spacing w:after="120"/>
      </w:pPr>
      <w:r>
        <w:rPr>
          <w:sz w:val="18"/>
          <w:szCs w:val="18"/>
        </w:rPr>
        <w:t xml:space="preserve">[17] V. Lähteenlahti, A. Schulman, A. Beiranvand, H. Huhtinen, P. Paturi, Electron Doping Effect in the Resistive Switching Properties of Al/Gd1-xCaxMnO3/Au Memristor Devices. ACS Applied Materials &amp; Interfaces 13, 18365–18371 (2021).</w:t>
      </w:r>
    </w:p>
    <w:p>
      <w:pPr>
        <w:spacing w:after="120"/>
      </w:pPr>
      <w:r>
        <w:rPr>
          <w:sz w:val="18"/>
          <w:szCs w:val="18"/>
        </w:rPr>
        <w:t xml:space="preserve">[18] W. C. Chueh, C. Falter, M. Abbott, D. Scipio, P. Furler, S. M. Haile, A. Steinfeld, High-Flux Solar-Driven Thermochemical Dissociation of CO2 and H2O Using Nonstoichiometric Ceria. Science 330, 1797–1801 (2010).</w:t>
      </w:r>
    </w:p>
    <w:p>
      <w:pPr>
        <w:spacing w:after="120"/>
      </w:pPr>
      <w:r>
        <w:rPr>
          <w:sz w:val="18"/>
          <w:szCs w:val="18"/>
        </w:rPr>
        <w:t xml:space="preserve">[19] D. N. Mueller, M. L. Machala, H. Bluhm, W. C. Chueh, Redox activity of surface oxygen anions in oxygen-deficient perovskite oxides during electrochemical reactions. Nature Communications 6, 6097 (2015).</w:t>
      </w:r>
    </w:p>
    <w:p>
      <w:pPr>
        <w:spacing w:after="120"/>
      </w:pPr>
      <w:r>
        <w:rPr>
          <w:sz w:val="18"/>
          <w:szCs w:val="18"/>
        </w:rPr>
        <w:t xml:space="preserve">[20] C. Baeumer, J. Li, Q. Lu et al. (with W. C. Chueh), Tuning electrochemically driven surface transformation in atomically flat LaNiO3 thin films for enhanced water electrolysis. Nature Materials 20, 674–682 (2021).</w:t>
      </w:r>
    </w:p>
    <w:p>
      <w:pPr>
        <w:spacing w:after="120"/>
      </w:pPr>
      <w:r>
        <w:rPr>
          <w:sz w:val="18"/>
          <w:szCs w:val="18"/>
        </w:rPr>
        <w:t xml:space="preserve">[21] M. Wuttig et al., Revisiting the Nature of Chemical Bonding in Chalcogenides to Explain and Design their Properties. Advanced Materials 35, 2208485 (2023).</w:t>
      </w:r>
    </w:p>
    <w:p>
      <w:pPr>
        <w:spacing w:after="120"/>
      </w:pPr>
      <w:r>
        <w:rPr>
          <w:sz w:val="18"/>
          <w:szCs w:val="18"/>
        </w:rPr>
        <w:t xml:space="preserve">[22] J. A. Santana, J. T. Krogel, P. R. C. Kent, F. A. Reboredo, Diffusion quantum Monte Carlo calculations of SrFeO3 and LaFeO3. The Journal of Chemical Physics 147, 034701 (2017).</w:t>
      </w:r>
    </w:p>
    <w:p>
      <w:pPr>
        <w:spacing w:after="120"/>
      </w:pPr>
      <w:r>
        <w:rPr>
          <w:sz w:val="18"/>
          <w:szCs w:val="18"/>
        </w:rPr>
        <w:t xml:space="preserve">[23] C. Song, H. Luo, J. Xu, Y. Song, Q. Hu, Density functional theory study on conduction mechanisms in LaFeO3 nanofibers for resistive random access memory. Ionics 32, 2427–2437 (2026).</w:t>
      </w:r>
    </w:p>
    <w:p>
      <w:pPr>
        <w:spacing w:after="120"/>
      </w:pPr>
      <w:r>
        <w:rPr>
          <w:sz w:val="18"/>
          <w:szCs w:val="18"/>
        </w:rPr>
        <w:t xml:space="preserve">[24] J. Zaanen, G. A. Sawatzky, J. W. Allen, Band gaps and electronic structure of transition-metal compounds. Physical Review Letters 55, 418–421 (1985).</w:t>
      </w:r>
    </w:p>
    <w:p>
      <w:pPr>
        <w:spacing w:after="120"/>
      </w:pPr>
      <w:r>
        <w:rPr>
          <w:sz w:val="18"/>
          <w:szCs w:val="18"/>
        </w:rPr>
        <w:t xml:space="preserve">[25] A. Fujimori, F. Minami, Valence-band photoemission and optical absorption in nickel compounds. Physical Review B 30, 957–971 (1984).</w:t>
      </w:r>
    </w:p>
    <w:p>
      <w:pPr>
        <w:spacing w:after="120"/>
      </w:pPr>
      <w:r>
        <w:rPr>
          <w:sz w:val="18"/>
          <w:szCs w:val="18"/>
        </w:rPr>
        <w:t xml:space="preserve">[26] A. E. Bocquet, T. Mizokawa, T. Saitoh, H. Namatame, A. Fujimori, Electronic structure of 3d-transition-metal compounds by analysis of the 2p core-level photoemission spectra. Physical Review B 46, 3771–3784 (1992).</w:t>
      </w:r>
    </w:p>
    <w:p>
      <w:pPr>
        <w:spacing w:after="120"/>
      </w:pPr>
      <w:r>
        <w:rPr>
          <w:sz w:val="18"/>
          <w:szCs w:val="18"/>
        </w:rPr>
        <w:t xml:space="preserve">[27] T. Saitoh, A. E. Bocquet, T. Mizokawa, A. Fujimori, Systematic variation of the electronic structure of 3d transition-metal compounds. Physical Review B 52, 7934–7938 (1995).</w:t>
      </w:r>
    </w:p>
    <w:p>
      <w:pPr>
        <w:spacing w:after="120"/>
      </w:pPr>
      <w:r>
        <w:rPr>
          <w:sz w:val="18"/>
          <w:szCs w:val="18"/>
        </w:rPr>
        <w:t xml:space="preserve">[28] S. Nimkar, D. D. Sarma, H. R. Krishnamurthy, S. Ramasesha, Mean-field results of the multiple-band extended Hubbard model for the square-planar CuO2 lattice. Physical Review B 48, 7355–7363 (1993).</w:t>
      </w:r>
    </w:p>
    <w:p>
      <w:pPr>
        <w:spacing w:after="120"/>
      </w:pPr>
      <w:r>
        <w:rPr>
          <w:sz w:val="18"/>
          <w:szCs w:val="18"/>
        </w:rPr>
        <w:t xml:space="preserve">[29] F. M. F. de Groot, X-ray absorption and dichroism of transition metals and their compounds. Journal of Electron Spectroscopy and Related Phenomena 67, 529–622 (1994).</w:t>
      </w:r>
    </w:p>
    <w:p>
      <w:pPr>
        <w:spacing w:after="120"/>
      </w:pPr>
      <w:r>
        <w:rPr>
          <w:sz w:val="18"/>
          <w:szCs w:val="18"/>
        </w:rPr>
        <w:t xml:space="preserve">[E1] M. Buczek et al., Amorphous, Highly Conductive Pr0.7Ca0.3MnO3 for Area-Dependent Resistive Switching Devices. Advanced Electronic Materials (2026, accepted).</w:t>
      </w:r>
    </w:p>
    <w:p>
      <w:pPr>
        <w:spacing w:after="120"/>
      </w:pPr>
      <w:r>
        <w:rPr>
          <w:sz w:val="18"/>
          <w:szCs w:val="18"/>
        </w:rPr>
        <w:t xml:space="preserve">[E2] M. Buczek, Z. Moos, A. Gutsche, S. Menzel, R. Dittmann, Pr1-xCaxMnO3-Based Memristive Heterostructures: Basic Mechanisms and Applications. Chemical Reviews 125, 6156–6202 (2025).</w:t>
      </w:r>
    </w:p>
    <w:p>
      <w:pPr>
        <w:spacing w:after="120"/>
      </w:pPr>
      <w:r>
        <w:rPr>
          <w:sz w:val="18"/>
          <w:szCs w:val="18"/>
        </w:rPr>
        <w:t xml:space="preserve">[E3] M. Buczek et al., Large Area Pulsed Laser Deposition of Memristive Pr0.7Ca0.3MnO3 Heterostructures for Neuromorphic Computing. Thin Solid Films (2024).</w:t>
      </w:r>
    </w:p>
    <w:p>
      <w:pPr>
        <w:pStyle w:val="Heading1"/>
        <w:spacing w:after="120" w:before="240"/>
      </w:pPr>
      <w:r>
        <w:t xml:space="preserve">8  Notes before submission</w:t>
      </w:r>
    </w:p>
    <w:p>
      <w:pPr>
        <w:spacing w:after="120"/>
      </w:pPr>
      <w:r>
        <w:rPr>
          <w:sz w:val="18"/>
          <w:szCs w:val="18"/>
        </w:rPr>
        <w:t xml:space="preserve">• Verify all bracketed programme details (rates, deadlines, current call conditions) against the funder’s current documentation. • Coordinate the proposal with Prof. Chueh and fix the German/European host institution. • Host confirmation from Prof. Chueh and statement of the German return host required; project description per DFG template. • Manuscript placeholders in the publication list ([E1]) to be updated at submission time.</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2026-08-10T20:07:02.201Z</dcterms:created>
  <dcterms:modified xsi:type="dcterms:W3CDTF">2026-08-10T20:07:02.201Z</dcterms:modified>
</cp:coreProperties>
</file>

<file path=docProps/custom.xml><?xml version="1.0" encoding="utf-8"?>
<Properties xmlns="http://schemas.openxmlformats.org/officeDocument/2006/custom-properties" xmlns:vt="http://schemas.openxmlformats.org/officeDocument/2006/docPropsVTypes"/>
</file>