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Marie Skłodowska-Curie Actions – Postdoctoral Fellowship (Global Fellowship)</w:t>
      </w:r>
    </w:p>
    <w:p>
      <w:pPr>
        <w:pStyle w:val="Title"/>
      </w:pPr>
      <w:r>
        <w:t xml:space="preserve">Covalency as an Experimental Descriptor of Memristive Switching: the La1-xSrxFeO3-δ Series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00"/>
        <w:gridCol w:w="6672"/>
      </w:tblGrid>
      <w:tr>
        <w:tc>
          <w:tcPr>
            <w:tcW w:type="dxa" w:w="2400"/>
            <w:shd w:fill="EEF1F5" w:val="clear"/>
            <w:tcMar>
              <w:top w:type="dxa" w:w="50"/>
              <w:left w:type="dxa" w:w="90"/>
              <w:bottom w:type="dxa" w:w="50"/>
              <w:right w:type="dxa" w:w="90"/>
            </w:tcMar>
          </w:tcPr>
          <w:p>
            <w:r>
              <w:rPr>
                <w:b/>
                <w:bCs/>
                <w:sz w:val="19"/>
                <w:szCs w:val="19"/>
              </w:rPr>
              <w:t xml:space="preserve">Applicant</w:t>
            </w:r>
          </w:p>
        </w:tc>
        <w:tc>
          <w:tcPr>
            <w:tcW w:type="dxa" w:w="66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400"/>
            <w:shd w:fill="EEF1F5" w:val="clear"/>
            <w:tcMar>
              <w:top w:type="dxa" w:w="50"/>
              <w:left w:type="dxa" w:w="90"/>
              <w:bottom w:type="dxa" w:w="50"/>
              <w:right w:type="dxa" w:w="90"/>
            </w:tcMar>
          </w:tcPr>
          <w:p>
            <w:r>
              <w:rPr>
                <w:b/>
                <w:bCs/>
                <w:sz w:val="19"/>
                <w:szCs w:val="19"/>
              </w:rPr>
              <w:t xml:space="preserve">Host abroad</w:t>
            </w:r>
          </w:p>
        </w:tc>
        <w:tc>
          <w:tcPr>
            <w:tcW w:type="dxa" w:w="66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(Stanford Synchrotron Radiation Lightsource, SSRL)</w:t>
            </w:r>
          </w:p>
        </w:tc>
      </w:tr>
      <w:tr>
        <w:tc>
          <w:tcPr>
            <w:tcW w:type="dxa" w:w="2400"/>
            <w:shd w:fill="EEF1F5" w:val="clear"/>
            <w:tcMar>
              <w:top w:type="dxa" w:w="50"/>
              <w:left w:type="dxa" w:w="90"/>
              <w:bottom w:type="dxa" w:w="50"/>
              <w:right w:type="dxa" w:w="90"/>
            </w:tcMar>
          </w:tcPr>
          <w:p>
            <w:r>
              <w:rPr>
                <w:b/>
                <w:bCs/>
                <w:sz w:val="19"/>
                <w:szCs w:val="19"/>
              </w:rPr>
              <w:t xml:space="preserve">German / European host</w:t>
            </w:r>
          </w:p>
        </w:tc>
        <w:tc>
          <w:tcPr>
            <w:tcW w:type="dxa" w:w="6672"/>
            <w:tcMar>
              <w:top w:type="dxa" w:w="50"/>
              <w:left w:type="dxa" w:w="90"/>
              <w:bottom w:type="dxa" w:w="50"/>
              <w:right w:type="dxa" w:w="90"/>
            </w:tcMar>
          </w:tcPr>
          <w:p>
            <w:r>
              <w:rPr>
                <w:b w:val="false"/>
                <w:bCs w:val="false"/>
                <w:sz w:val="19"/>
                <w:szCs w:val="19"/>
              </w:rPr>
              <w:t xml:space="preserve">[RWTH Aachen University or Forschungszentrum Jülich – to be fixed; hosts the return/reintegration phase where applicable]</w:t>
            </w:r>
          </w:p>
        </w:tc>
      </w:tr>
      <w:tr>
        <w:tc>
          <w:tcPr>
            <w:tcW w:type="dxa" w:w="2400"/>
            <w:shd w:fill="EEF1F5" w:val="clear"/>
            <w:tcMar>
              <w:top w:type="dxa" w:w="50"/>
              <w:left w:type="dxa" w:w="90"/>
              <w:bottom w:type="dxa" w:w="50"/>
              <w:right w:type="dxa" w:w="90"/>
            </w:tcMar>
          </w:tcPr>
          <w:p>
            <w:r>
              <w:rPr>
                <w:b/>
                <w:bCs/>
                <w:sz w:val="19"/>
                <w:szCs w:val="19"/>
              </w:rPr>
              <w:t xml:space="preserve">Duration</w:t>
            </w:r>
          </w:p>
        </w:tc>
        <w:tc>
          <w:tcPr>
            <w:tcW w:type="dxa" w:w="6672"/>
            <w:tcMar>
              <w:top w:type="dxa" w:w="50"/>
              <w:left w:type="dxa" w:w="90"/>
              <w:bottom w:type="dxa" w:w="50"/>
              <w:right w:type="dxa" w:w="90"/>
            </w:tcMar>
          </w:tcPr>
          <w:p>
            <w:r>
              <w:rPr>
                <w:b w:val="false"/>
                <w:bCs w:val="false"/>
                <w:sz w:val="19"/>
                <w:szCs w:val="19"/>
              </w:rPr>
              <w:t xml:space="preserve">36 months (24 outgoing + 12 return)</w:t>
            </w:r>
          </w:p>
        </w:tc>
      </w:tr>
      <w:tr>
        <w:tc>
          <w:tcPr>
            <w:tcW w:type="dxa" w:w="2400"/>
            <w:shd w:fill="EEF1F5" w:val="clear"/>
            <w:tcMar>
              <w:top w:type="dxa" w:w="50"/>
              <w:left w:type="dxa" w:w="90"/>
              <w:bottom w:type="dxa" w:w="50"/>
              <w:right w:type="dxa" w:w="90"/>
            </w:tcMar>
          </w:tcPr>
          <w:p>
            <w:r>
              <w:rPr>
                <w:b/>
                <w:bCs/>
                <w:sz w:val="19"/>
                <w:szCs w:val="19"/>
              </w:rPr>
              <w:t xml:space="preserve">Format</w:t>
            </w:r>
          </w:p>
        </w:tc>
        <w:tc>
          <w:tcPr>
            <w:tcW w:type="dxa" w:w="6672"/>
            <w:tcMar>
              <w:top w:type="dxa" w:w="50"/>
              <w:left w:type="dxa" w:w="90"/>
              <w:bottom w:type="dxa" w:w="50"/>
              <w:right w:type="dxa" w:w="90"/>
            </w:tcMar>
          </w:tcPr>
          <w:p>
            <w:r>
              <w:rPr>
                <w:b w:val="false"/>
                <w:bCs w:val="false"/>
                <w:sz w:val="19"/>
                <w:szCs w:val="19"/>
              </w:rPr>
              <w:t xml:space="preserve">Global Postdoctoral Fellowship: 24-month outgoing phase at Stanford University / SLAC (third country) + mandatory 12-month return phase at the European host [FZ Jülich or RWTH Aachen as applicant/beneficiary organisation]</w:t>
            </w:r>
          </w:p>
        </w:tc>
      </w:tr>
      <w:tr>
        <w:tc>
          <w:tcPr>
            <w:tcW w:type="dxa" w:w="2400"/>
            <w:shd w:fill="EEF1F5" w:val="clear"/>
            <w:tcMar>
              <w:top w:type="dxa" w:w="50"/>
              <w:left w:type="dxa" w:w="90"/>
              <w:bottom w:type="dxa" w:w="50"/>
              <w:right w:type="dxa" w:w="90"/>
            </w:tcMar>
          </w:tcPr>
          <w:p>
            <w:r>
              <w:rPr>
                <w:b/>
                <w:bCs/>
                <w:sz w:val="19"/>
                <w:szCs w:val="19"/>
              </w:rPr>
              <w:t xml:space="preserve">Funding</w:t>
            </w:r>
          </w:p>
        </w:tc>
        <w:tc>
          <w:tcPr>
            <w:tcW w:type="dxa" w:w="6672"/>
            <w:tcMar>
              <w:top w:type="dxa" w:w="50"/>
              <w:left w:type="dxa" w:w="90"/>
              <w:bottom w:type="dxa" w:w="50"/>
              <w:right w:type="dxa" w:w="90"/>
            </w:tcMar>
          </w:tcPr>
          <w:p>
            <w:r>
              <w:rPr>
                <w:b w:val="false"/>
                <w:bCs w:val="false"/>
                <w:sz w:val="19"/>
                <w:szCs w:val="19"/>
              </w:rPr>
              <w:t xml:space="preserve">Horizon Europe unit costs: living, mobility and (if applicable) family allowances, country-corrected [insert current rates]</w:t>
            </w:r>
          </w:p>
        </w:tc>
      </w:tr>
      <w:tr>
        <w:tc>
          <w:tcPr>
            <w:tcW w:type="dxa" w:w="2400"/>
            <w:shd w:fill="EEF1F5" w:val="clear"/>
            <w:tcMar>
              <w:top w:type="dxa" w:w="50"/>
              <w:left w:type="dxa" w:w="90"/>
              <w:bottom w:type="dxa" w:w="50"/>
              <w:right w:type="dxa" w:w="90"/>
            </w:tcMar>
          </w:tcPr>
          <w:p>
            <w:r>
              <w:rPr>
                <w:b/>
                <w:bCs/>
                <w:sz w:val="19"/>
                <w:szCs w:val="19"/>
              </w:rPr>
              <w:t xml:space="preserve">Eligibility</w:t>
            </w:r>
          </w:p>
        </w:tc>
        <w:tc>
          <w:tcPr>
            <w:tcW w:type="dxa" w:w="6672"/>
            <w:tcMar>
              <w:top w:type="dxa" w:w="50"/>
              <w:left w:type="dxa" w:w="90"/>
              <w:bottom w:type="dxa" w:w="50"/>
              <w:right w:type="dxa" w:w="90"/>
            </w:tcMar>
          </w:tcPr>
          <w:p>
            <w:r>
              <w:rPr>
                <w:b w:val="false"/>
                <w:bCs w:val="false"/>
                <w:sz w:val="19"/>
                <w:szCs w:val="19"/>
              </w:rPr>
              <w:t xml:space="preserve">PhD ≤ 8 years at call deadline; MSCA mobility rule for the outgoing host country (max. 12 months in the USA within the 36 months before the deadline) [verify against personal record]</w:t>
            </w:r>
          </w:p>
        </w:tc>
      </w:tr>
      <w:tr>
        <w:tc>
          <w:tcPr>
            <w:tcW w:type="dxa" w:w="2400"/>
            <w:shd w:fill="EEF1F5" w:val="clear"/>
            <w:tcMar>
              <w:top w:type="dxa" w:w="50"/>
              <w:left w:type="dxa" w:w="90"/>
              <w:bottom w:type="dxa" w:w="50"/>
              <w:right w:type="dxa" w:w="90"/>
            </w:tcMar>
          </w:tcPr>
          <w:p>
            <w:r>
              <w:rPr>
                <w:b/>
                <w:bCs/>
                <w:sz w:val="19"/>
                <w:szCs w:val="19"/>
              </w:rPr>
              <w:t xml:space="preserve">Application</w:t>
            </w:r>
          </w:p>
        </w:tc>
        <w:tc>
          <w:tcPr>
            <w:tcW w:type="dxa" w:w="6672"/>
            <w:tcMar>
              <w:top w:type="dxa" w:w="50"/>
              <w:left w:type="dxa" w:w="90"/>
              <w:bottom w:type="dxa" w:w="50"/>
              <w:right w:type="dxa" w:w="90"/>
            </w:tcMar>
          </w:tcPr>
          <w:p>
            <w:r>
              <w:rPr>
                <w:b w:val="false"/>
                <w:bCs w:val="false"/>
                <w:sz w:val="19"/>
                <w:szCs w:val="19"/>
              </w:rPr>
              <w:t xml:space="preserve">Annual single-stage call [insert current deadline, typically September], submitted by the European host institution</w:t>
            </w:r>
          </w:p>
        </w:tc>
      </w:tr>
      <w:tr>
        <w:tc>
          <w:tcPr>
            <w:tcW w:type="dxa" w:w="2400"/>
            <w:shd w:fill="EEF1F5" w:val="clear"/>
            <w:tcMar>
              <w:top w:type="dxa" w:w="50"/>
              <w:left w:type="dxa" w:w="90"/>
              <w:bottom w:type="dxa" w:w="50"/>
              <w:right w:type="dxa" w:w="90"/>
            </w:tcMar>
          </w:tcPr>
          <w:p>
            <w:r>
              <w:rPr>
                <w:b/>
                <w:bCs/>
                <w:sz w:val="19"/>
                <w:szCs w:val="19"/>
              </w:rPr>
              <w:t xml:space="preserve">Special feature</w:t>
            </w:r>
          </w:p>
        </w:tc>
        <w:tc>
          <w:tcPr>
            <w:tcW w:type="dxa" w:w="6672"/>
            <w:tcMar>
              <w:top w:type="dxa" w:w="50"/>
              <w:left w:type="dxa" w:w="90"/>
              <w:bottom w:type="dxa" w:w="50"/>
              <w:right w:type="dxa" w:w="90"/>
            </w:tcMar>
          </w:tcPr>
          <w:p>
            <w:r>
              <w:rPr>
                <w:b w:val="false"/>
                <w:bCs w:val="false"/>
                <w:sz w:val="19"/>
                <w:szCs w:val="19"/>
              </w:rPr>
              <w:t xml:space="preserve">Explicit training, supervision and two-way knowledge-transfer requirements; funded 12-month return phase</w:t>
            </w:r>
          </w:p>
        </w:tc>
      </w:tr>
    </w:tbl>
    <w:p>
      <w:pPr>
        <w:spacing w:after="120"/>
      </w:pPr>
      <w:r>
        <w:rPr>
          <w:i/>
          <w:iCs/>
          <w:sz w:val="18"/>
          <w:szCs w:val="18"/>
        </w:rPr>
        <w:t xml:space="preserve">Standalone draft proposal for this funding line (status 09.08.2026). Only one of the parallel programme drafts of this folder will be pursued for the research stay – check each funder’s double-funding rules before submission. Materials selection follows the portfolio’s three-criterion evidence logic; all cited references are individually verified against publisher records (see Literaturpruefung_2026-08-09 and Materialscreening_2026-08-09).</w:t>
      </w:r>
    </w:p>
    <w:p>
      <w:pPr>
        <w:pStyle w:val="Heading1"/>
        <w:spacing w:after="120" w:before="240"/>
      </w:pPr>
      <w:r>
        <w:t xml:space="preserve">1  Research question and scientific significance</w:t>
      </w:r>
    </w:p>
    <w:p>
      <w:pPr>
        <w:spacing w:after="120"/>
      </w:pPr>
      <w:r>
        <w:t xml:space="preserve">Memristive devices based on the valence change mechanism (VCM) switch their resistance through field-driven creation and migration of oxygen vacancies (VO) [1–3]. The oxygen-vacancy formation energy (EV) enters all quantitative switching models exponentially [3, 4] – and yet it has never been measured systematically how EV determines the central figures of merit (ON/OFF ratio, forming voltage, retention). Energy research, by contrast, has quantitatively established that EV in perovskites is controlled by the metal–oxygen covalency: the O-2p band centre scales linearly with EV and serves as a descriptor for catalysis and oxygen transport [5–8]. My project connects these two worlds experimentally for the first time – using the ideally suited model series La1-xSrxFeO3-δ (LSFO).</w:t>
      </w:r>
    </w:p>
    <w:p>
      <w:pPr>
        <w:spacing w:after="120"/>
      </w:pPr>
      <w:r>
        <w:t xml:space="preserve">LSFO is the perfect test system: substituting La3+ by Sr2+ lowers EV continuously from about 4 eV (x = 0) to below 1 eV (x = 0.5) [9] – with the SrFeO3 end member similarly reducible [22] – and increases the Fe–O covalency measurably in the O-K pre-edge of X-ray absorption [10, 11] – at unchanged perovskite structure. Both end members are documented switching materials: SrFeO3-δ/SrFeO2.5 switches topotactically – under inert Au/SrRuO3 electrode stacks – with ON/OFF ratios around 104 [12, 13], while LaFeO3, a robust insulator, is only rudimentarily switching-active [14, 23]. For the intermediate compositions, however, not a single memristor study exists – a gap secured by my systematic literature analysis. The closest existing work controls the conductivity of La0.5Sr0.5FeO3-δ electrochemically over four orders of magnitude [15], demonstrating feasibility without answering the memristor question. The few stoichiometry-dependent switching studies on related manganites consistently show a non-monotonic optimum of the switching window with doping [16, 17] – my central hypothesis is therefore that the usable switching window of LSFO is maximal at intermediate covalency (“Goldilocks zone”) and that this position can be predicted from the XAS covalency descriptor. Because switching under inert electrode stacks is already demonstrated at the Sr-rich end, the unexplored intermediate series is an optimisation space rather than a feasibility risk: the project both maps the covalency correlation and optimises the switching window via the Sr content. A known design constraint is addressed head-on: near the Sr-rich end member the switching mechanism changes character (topotactic brownmillerite transition [12, 13]) – the series therefore doubles as a controlled approach to a mechanism boundary, which is itself charted rather than avoided.</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[24] and as extracted compound by compound by the configuration-interaction analyses of Fujimori, Bocquet, Saitoh, Sarma and co-workers [25–28]. O-K pre-edge intensities serve as a relative, series-internal hybridisation measure only; their limits as an absolute covalency scale (core-hole effects, ligand-hole distribution, band effects) are treated explicitly [29],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1"/>
        <w:spacing w:after="120" w:before="240"/>
      </w:pPr>
      <w:r>
        <w:t xml:space="preserve">2  Programme fit and strategy</w:t>
      </w:r>
    </w:p>
    <w:p>
      <w:pPr>
        <w:spacing w:after="120"/>
      </w:pPr>
      <w:r>
        <w:t xml:space="preserve">The MSCA Global Fellowship funds the project as a 24-month outgoing phase at Stanford plus a mandatory, funded 12-month return phase at the European host. The return phase institutionalises exactly what the planned group programme needs: transfer of the SSRL-proven XAS protocols to European beamlines, integration of the descriptor dataset into the map, and preparation of the ERC/Emmy Noether bid. MSCA-specific proposal sections (training objectives, supervision arrangement between Prof. Chueh and the German host, dissemination and exploitation plan, two-way transfer of knowledge) must be completed per the current template.</w:t>
      </w:r>
    </w:p>
    <w:p>
      <w:pPr>
        <w:pStyle w:val="Heading1"/>
        <w:spacing w:after="120" w:before="240"/>
      </w:pPr>
      <w:r>
        <w:t xml:space="preserve">3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perovskite thin films [18–20]. The group’s seminal work on the redox activity of oxygen anions in oxygen-deficient perovskites [19] is a direct methodological blueprint for my project; the Nature Materials study on atomically defined LaNiO3 surfaces [20] – with Christoph Baeumer from the Jülich school as first author – furthermore demonstrates that the group routinely masters epitaxial perovskite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1"/>
        <w:spacing w:after="120" w:before="240"/>
      </w:pPr>
      <w:r>
        <w:t xml:space="preserve">4  Work programme</w:t>
      </w:r>
    </w:p>
    <w:p>
      <w:pPr>
        <w:spacing w:after="120"/>
      </w:pPr>
      <w:r>
        <w:rPr>
          <w:b/>
          <w:bCs/>
        </w:rPr>
        <w:t xml:space="preserve">WP1 – Synthesis and descriptor measurement of the LSFO series (months 1–10, Stanford)</w:t>
      </w:r>
    </w:p>
    <w:p>
      <w:pPr>
        <w:spacing w:after="120"/>
      </w:pPr>
      <w:r>
        <w:t xml:space="preserve">PLD growth of epitaxial La1-xSrxFeO3-δ films (x = 0; 0.2; 0.33; 0.5; 0.67; 1) on Nb:SrTiO3 substrates in the Stanford/SLAC thin-film laboratories; structural validation (XRD, AFM); determination of cation and oxygen stoichiometry (XPS, RBS where required). In parallel, first XAS campaign at SSRL: O-K pre-edge quantification following the procedure of Suntivich et al. [11] and Fe-L2,3 valence analysis for every composition → experimental covalency scale of the series. Milestone M1 (month 10): validated sample series with complete descriptor set.</w:t>
      </w:r>
    </w:p>
    <w:p>
      <w:pPr>
        <w:spacing w:after="120"/>
      </w:pPr>
      <w:r>
        <w:rPr>
          <w:b/>
          <w:bCs/>
        </w:rPr>
        <w:t xml:space="preserve">WP2 – Devices and switching characterisation (months 8–18, Stanford)</w:t>
      </w:r>
    </w:p>
    <w:p>
      <w:pPr>
        <w:spacing w:after="120"/>
      </w:pPr>
      <w:r>
        <w:t xml:space="preserve">Processing of identical Pt/LSFO/Nb:SrTiO3 cell arrays (≥ 30 cells per composition) with photolithographic patterning; quasistatic and pulsed switching characterisation following the statistics protocol established in my doctorate (ON/OFF at defined read-out voltage, forming requirement, switching kinetics, temperature-accelerated retention, endurance). Milestone M2 (month 18): switching figures of merit as a function of x with robust statistics.</w:t>
      </w:r>
    </w:p>
    <w:p>
      <w:pPr>
        <w:spacing w:after="120"/>
      </w:pPr>
      <w:r>
        <w:rPr>
          <w:b/>
          <w:bCs/>
        </w:rPr>
        <w:t xml:space="preserve">WP3 – Correlation, operando validation and publication (months 16–24, Stanford)</w:t>
      </w:r>
    </w:p>
    <w:p>
      <w:pPr>
        <w:spacing w:after="120"/>
      </w:pPr>
      <w:r>
        <w:t xml:space="preserve">Correlation analysis covalency (XAS) ↔ EV (literature DFT [9]) ↔ switching metrics; test of the optimum hypothesis. Second SSRL campaign: XAS on switched cells (ex-situ before/after switching, operando if successful) to verify that the composition-dependent differences indeed rest on different VO dynamics. Publication of the first covalency-resolved memristor study of a perovskite series; dataset released following FAIR principles. Milestone M3 (month 24): submitted publication(s), public dataset.</w:t>
      </w:r>
    </w:p>
    <w:p>
      <w:pPr>
        <w:spacing w:after="120"/>
      </w:pPr>
      <w:r>
        <w:rPr>
          <w:b/>
          <w:bCs/>
        </w:rPr>
        <w:t xml:space="preserve">WP4 – Return phase: European transfer and map integration (months 25–36, [RWTH Aachen / FZ Jülich])</w:t>
      </w:r>
    </w:p>
    <w:p>
      <w:pPr>
        <w:spacing w:after="120"/>
      </w:pPr>
      <w:r>
        <w:t xml:space="preserve">European beamline campaigns (BESSY II/PETRA III) transferring the SSRL-proven XAS protocols; cross-class integration of the descriptor dataset into the map; publication of the extended dataset; preparation and submission of the junior-group proposal (Emmy Noether/ERC); supervision and training plan per MSCA rules spanning both phases. Milestone M4 (month 36): map integration complete, group proposal submitted.</w:t>
      </w:r>
    </w:p>
    <w:p>
      <w:pPr>
        <w:pStyle w:val="Heading1"/>
        <w:spacing w:after="120" w:before="240"/>
      </w:pPr>
      <w:r>
        <w:t xml:space="preserve">5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412"/>
        <w:gridCol w:w="555"/>
        <w:gridCol w:w="555"/>
        <w:gridCol w:w="555"/>
        <w:gridCol w:w="555"/>
        <w:gridCol w:w="555"/>
        <w:gridCol w:w="555"/>
        <w:gridCol w:w="555"/>
        <w:gridCol w:w="555"/>
        <w:gridCol w:w="555"/>
        <w:gridCol w:w="555"/>
        <w:gridCol w:w="555"/>
        <w:gridCol w:w="555"/>
      </w:tblGrid>
      <w:tr>
        <w:tc>
          <w:tcPr>
            <w:tcW w:type="dxa" w:w="2412"/>
            <w:shd w:fill="EEF1F5" w:val="clear"/>
            <w:tcMar>
              <w:top w:type="dxa" w:w="50"/>
              <w:left w:type="dxa" w:w="90"/>
              <w:bottom w:type="dxa" w:w="50"/>
              <w:right w:type="dxa" w:w="90"/>
            </w:tcMar>
          </w:tcPr>
          <w:p>
            <w:r>
              <w:rPr>
                <w:b/>
                <w:bCs/>
                <w:sz w:val="19"/>
                <w:szCs w:val="19"/>
              </w:rPr>
              <w:t xml:space="preserve">Work package</w:t>
            </w:r>
          </w:p>
        </w:tc>
        <w:tc>
          <w:tcPr>
            <w:tcW w:type="dxa" w:w="555"/>
            <w:shd w:fill="EEF1F5" w:val="clear"/>
            <w:tcMar>
              <w:top w:type="dxa" w:w="50"/>
              <w:left w:type="dxa" w:w="90"/>
              <w:bottom w:type="dxa" w:w="50"/>
              <w:right w:type="dxa" w:w="90"/>
            </w:tcMar>
          </w:tcPr>
          <w:p>
            <w:r>
              <w:rPr>
                <w:b/>
                <w:bCs/>
                <w:sz w:val="19"/>
                <w:szCs w:val="19"/>
              </w:rPr>
              <w:t xml:space="preserve">Q1</w:t>
            </w:r>
          </w:p>
        </w:tc>
        <w:tc>
          <w:tcPr>
            <w:tcW w:type="dxa" w:w="555"/>
            <w:shd w:fill="EEF1F5" w:val="clear"/>
            <w:tcMar>
              <w:top w:type="dxa" w:w="50"/>
              <w:left w:type="dxa" w:w="90"/>
              <w:bottom w:type="dxa" w:w="50"/>
              <w:right w:type="dxa" w:w="90"/>
            </w:tcMar>
          </w:tcPr>
          <w:p>
            <w:r>
              <w:rPr>
                <w:b/>
                <w:bCs/>
                <w:sz w:val="19"/>
                <w:szCs w:val="19"/>
              </w:rPr>
              <w:t xml:space="preserve">Q2</w:t>
            </w:r>
          </w:p>
        </w:tc>
        <w:tc>
          <w:tcPr>
            <w:tcW w:type="dxa" w:w="555"/>
            <w:shd w:fill="EEF1F5" w:val="clear"/>
            <w:tcMar>
              <w:top w:type="dxa" w:w="50"/>
              <w:left w:type="dxa" w:w="90"/>
              <w:bottom w:type="dxa" w:w="50"/>
              <w:right w:type="dxa" w:w="90"/>
            </w:tcMar>
          </w:tcPr>
          <w:p>
            <w:r>
              <w:rPr>
                <w:b/>
                <w:bCs/>
                <w:sz w:val="19"/>
                <w:szCs w:val="19"/>
              </w:rPr>
              <w:t xml:space="preserve">Q3</w:t>
            </w:r>
          </w:p>
        </w:tc>
        <w:tc>
          <w:tcPr>
            <w:tcW w:type="dxa" w:w="555"/>
            <w:shd w:fill="EEF1F5" w:val="clear"/>
            <w:tcMar>
              <w:top w:type="dxa" w:w="50"/>
              <w:left w:type="dxa" w:w="90"/>
              <w:bottom w:type="dxa" w:w="50"/>
              <w:right w:type="dxa" w:w="90"/>
            </w:tcMar>
          </w:tcPr>
          <w:p>
            <w:r>
              <w:rPr>
                <w:b/>
                <w:bCs/>
                <w:sz w:val="19"/>
                <w:szCs w:val="19"/>
              </w:rPr>
              <w:t xml:space="preserve">Q4</w:t>
            </w:r>
          </w:p>
        </w:tc>
        <w:tc>
          <w:tcPr>
            <w:tcW w:type="dxa" w:w="555"/>
            <w:shd w:fill="EEF1F5" w:val="clear"/>
            <w:tcMar>
              <w:top w:type="dxa" w:w="50"/>
              <w:left w:type="dxa" w:w="90"/>
              <w:bottom w:type="dxa" w:w="50"/>
              <w:right w:type="dxa" w:w="90"/>
            </w:tcMar>
          </w:tcPr>
          <w:p>
            <w:r>
              <w:rPr>
                <w:b/>
                <w:bCs/>
                <w:sz w:val="19"/>
                <w:szCs w:val="19"/>
              </w:rPr>
              <w:t xml:space="preserve">Q5</w:t>
            </w:r>
          </w:p>
        </w:tc>
        <w:tc>
          <w:tcPr>
            <w:tcW w:type="dxa" w:w="555"/>
            <w:shd w:fill="EEF1F5" w:val="clear"/>
            <w:tcMar>
              <w:top w:type="dxa" w:w="50"/>
              <w:left w:type="dxa" w:w="90"/>
              <w:bottom w:type="dxa" w:w="50"/>
              <w:right w:type="dxa" w:w="90"/>
            </w:tcMar>
          </w:tcPr>
          <w:p>
            <w:r>
              <w:rPr>
                <w:b/>
                <w:bCs/>
                <w:sz w:val="19"/>
                <w:szCs w:val="19"/>
              </w:rPr>
              <w:t xml:space="preserve">Q6</w:t>
            </w:r>
          </w:p>
        </w:tc>
        <w:tc>
          <w:tcPr>
            <w:tcW w:type="dxa" w:w="555"/>
            <w:shd w:fill="EEF1F5" w:val="clear"/>
            <w:tcMar>
              <w:top w:type="dxa" w:w="50"/>
              <w:left w:type="dxa" w:w="90"/>
              <w:bottom w:type="dxa" w:w="50"/>
              <w:right w:type="dxa" w:w="90"/>
            </w:tcMar>
          </w:tcPr>
          <w:p>
            <w:r>
              <w:rPr>
                <w:b/>
                <w:bCs/>
                <w:sz w:val="19"/>
                <w:szCs w:val="19"/>
              </w:rPr>
              <w:t xml:space="preserve">Q7</w:t>
            </w:r>
          </w:p>
        </w:tc>
        <w:tc>
          <w:tcPr>
            <w:tcW w:type="dxa" w:w="555"/>
            <w:shd w:fill="EEF1F5" w:val="clear"/>
            <w:tcMar>
              <w:top w:type="dxa" w:w="50"/>
              <w:left w:type="dxa" w:w="90"/>
              <w:bottom w:type="dxa" w:w="50"/>
              <w:right w:type="dxa" w:w="90"/>
            </w:tcMar>
          </w:tcPr>
          <w:p>
            <w:r>
              <w:rPr>
                <w:b/>
                <w:bCs/>
                <w:sz w:val="19"/>
                <w:szCs w:val="19"/>
              </w:rPr>
              <w:t xml:space="preserve">Q8</w:t>
            </w:r>
          </w:p>
        </w:tc>
        <w:tc>
          <w:tcPr>
            <w:tcW w:type="dxa" w:w="555"/>
            <w:shd w:fill="EEF1F5" w:val="clear"/>
            <w:tcMar>
              <w:top w:type="dxa" w:w="50"/>
              <w:left w:type="dxa" w:w="90"/>
              <w:bottom w:type="dxa" w:w="50"/>
              <w:right w:type="dxa" w:w="90"/>
            </w:tcMar>
          </w:tcPr>
          <w:p>
            <w:r>
              <w:rPr>
                <w:b/>
                <w:bCs/>
                <w:sz w:val="19"/>
                <w:szCs w:val="19"/>
              </w:rPr>
              <w:t xml:space="preserve">Q9</w:t>
            </w:r>
          </w:p>
        </w:tc>
        <w:tc>
          <w:tcPr>
            <w:tcW w:type="dxa" w:w="555"/>
            <w:shd w:fill="EEF1F5" w:val="clear"/>
            <w:tcMar>
              <w:top w:type="dxa" w:w="50"/>
              <w:left w:type="dxa" w:w="90"/>
              <w:bottom w:type="dxa" w:w="50"/>
              <w:right w:type="dxa" w:w="90"/>
            </w:tcMar>
          </w:tcPr>
          <w:p>
            <w:r>
              <w:rPr>
                <w:b/>
                <w:bCs/>
                <w:sz w:val="19"/>
                <w:szCs w:val="19"/>
              </w:rPr>
              <w:t xml:space="preserve">Q10</w:t>
            </w:r>
          </w:p>
        </w:tc>
        <w:tc>
          <w:tcPr>
            <w:tcW w:type="dxa" w:w="555"/>
            <w:shd w:fill="EEF1F5" w:val="clear"/>
            <w:tcMar>
              <w:top w:type="dxa" w:w="50"/>
              <w:left w:type="dxa" w:w="90"/>
              <w:bottom w:type="dxa" w:w="50"/>
              <w:right w:type="dxa" w:w="90"/>
            </w:tcMar>
          </w:tcPr>
          <w:p>
            <w:r>
              <w:rPr>
                <w:b/>
                <w:bCs/>
                <w:sz w:val="19"/>
                <w:szCs w:val="19"/>
              </w:rPr>
              <w:t xml:space="preserve">Q11</w:t>
            </w:r>
          </w:p>
        </w:tc>
        <w:tc>
          <w:tcPr>
            <w:tcW w:type="dxa" w:w="555"/>
            <w:shd w:fill="EEF1F5" w:val="clear"/>
            <w:tcMar>
              <w:top w:type="dxa" w:w="50"/>
              <w:left w:type="dxa" w:w="90"/>
              <w:bottom w:type="dxa" w:w="50"/>
              <w:right w:type="dxa" w:w="90"/>
            </w:tcMar>
          </w:tcPr>
          <w:p>
            <w:r>
              <w:rPr>
                <w:b/>
                <w:bCs/>
                <w:sz w:val="19"/>
                <w:szCs w:val="19"/>
              </w:rPr>
              <w:t xml:space="preserve">Q12</w:t>
            </w:r>
          </w:p>
        </w:tc>
      </w:tr>
      <w:tr>
        <w:tc>
          <w:tcPr>
            <w:tcW w:type="dxa" w:w="2412"/>
            <w:tcMar>
              <w:top w:type="dxa" w:w="50"/>
              <w:left w:type="dxa" w:w="90"/>
              <w:bottom w:type="dxa" w:w="50"/>
              <w:right w:type="dxa" w:w="90"/>
            </w:tcMar>
          </w:tcPr>
          <w:p>
            <w:r>
              <w:rPr>
                <w:b w:val="false"/>
                <w:bCs w:val="false"/>
                <w:sz w:val="19"/>
                <w:szCs w:val="19"/>
              </w:rPr>
              <w:t xml:space="preserve">WP1 Synthesis + XAS descriptors</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WP2 Devices + switching statistics</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WP3 Correlation + operando + publication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r>
      <w:tr>
        <w:tc>
          <w:tcPr>
            <w:tcW w:type="dxa" w:w="2412"/>
            <w:tcMar>
              <w:top w:type="dxa" w:w="50"/>
              <w:left w:type="dxa" w:w="90"/>
              <w:bottom w:type="dxa" w:w="50"/>
              <w:right w:type="dxa" w:w="90"/>
            </w:tcMar>
          </w:tcPr>
          <w:p>
            <w:r>
              <w:rPr>
                <w:b w:val="false"/>
                <w:bCs w:val="false"/>
                <w:sz w:val="19"/>
                <w:szCs w:val="19"/>
              </w:rPr>
              <w:t xml:space="preserve">WP4 Return phase: transfer + map integration</w:t>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c>
          <w:tcPr>
            <w:tcW w:type="dxa" w:w="555"/>
            <w:tcMar>
              <w:top w:type="dxa" w:w="50"/>
              <w:left w:type="dxa" w:w="90"/>
              <w:bottom w:type="dxa" w:w="50"/>
              <w:right w:type="dxa" w:w="90"/>
            </w:tcMar>
          </w:tcPr>
          <w:p>
            <w:r>
              <w:rPr>
                <w:b w:val="false"/>
                <w:bCs w:val="false"/>
                <w:sz w:val="19"/>
                <w:szCs w:val="19"/>
              </w:rPr>
              <w:t xml:space="preserve">■</w:t>
            </w:r>
          </w:p>
        </w:tc>
      </w:tr>
    </w:tbl>
    <w:p>
      <w:pPr>
        <w:pStyle w:val="Heading1"/>
        <w:spacing w:after="120" w:before="240"/>
      </w:pPr>
      <w:r>
        <w:t xml:space="preserve">6  Career perspective</w:t>
      </w:r>
    </w:p>
    <w:p>
      <w:pPr>
        <w:spacing w:after="120"/>
      </w:pPr>
      <w:r>
        <w:t xml:space="preserve">The project is the building block between the applicant’s doctorate (memristive devices, PLD, switching statistics) and the goal of an own junior research group in Europe on descriptor-based materials development for memristive oxides. The funded return phase reintegrates the methodology into the European research area (FZ Jülich/RWTH Aachen, JARA) and prepares the ERC Starting Grant/Emmy Noether bid; the MSCA fellowship itself strengthens the European profile of that bid. The choice of LSFO is deliberate: the series with the largest documented EV span and switching-proven end members becomes the first covalency-resolved composition series of the planned group programme. The Stanford/SSRL collaboration will be continued as the transatlantic bridge of the future group.</w:t>
      </w:r>
    </w:p>
    <w:p>
      <w:pPr>
        <w:pStyle w:val="Heading1"/>
        <w:spacing w:after="120" w:before="240"/>
      </w:pPr>
      <w:r>
        <w:t xml:space="preserve">7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A. M. Ritzmann, A. B. Muñoz-García, M. Pavone, J. A. Keith, E. A. Carter, Ab Initio DFT+U Analysis of Oxygen Vacancy Formation and Migration in La1-xSrxFeO3-δ (x = 0, 0.25, 0.50). Chemistry of Materials 25, 3011–3019 (2013).</w:t>
      </w:r>
    </w:p>
    <w:p>
      <w:pPr>
        <w:spacing w:after="120"/>
      </w:pPr>
      <w:r>
        <w:rPr>
          <w:sz w:val="18"/>
          <w:szCs w:val="18"/>
        </w:rPr>
        <w:t xml:space="preserve">[10] M. Abbate et al., Controlled-valence properties of La1-xSrxFeO3 and La1-xSrxMnO3 studied by soft-x-ray absorption spectroscopy. Physical Review B 46, 4511–4519 (1992).</w:t>
      </w:r>
    </w:p>
    <w:p>
      <w:pPr>
        <w:spacing w:after="120"/>
      </w:pPr>
      <w:r>
        <w:rPr>
          <w:sz w:val="18"/>
          <w:szCs w:val="18"/>
        </w:rPr>
        <w:t xml:space="preserve">[11]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[12] V. R. Nallagatla et al., Topotactic Phase Transition Driving Memristive Behavior (SrFeO2.5/SrFeO3). Advanced Materials 31, 1903391 (2019).</w:t>
      </w:r>
    </w:p>
    <w:p>
      <w:pPr>
        <w:spacing w:after="120"/>
      </w:pPr>
      <w:r>
        <w:rPr>
          <w:sz w:val="18"/>
          <w:szCs w:val="18"/>
        </w:rPr>
        <w:t xml:space="preserve">[13] J. Tian et al., Nanoscale Topotactic Phase Transformation in SrFeOx Epitaxial Thin Films for High-Density Resistive Switching Memory. Advanced Materials 31, 1903679 (2019).</w:t>
      </w:r>
    </w:p>
    <w:p>
      <w:pPr>
        <w:spacing w:after="120"/>
      </w:pPr>
      <w:r>
        <w:rPr>
          <w:sz w:val="18"/>
          <w:szCs w:val="18"/>
        </w:rPr>
        <w:t xml:space="preserve">[14] R. K. Aljurays, A. Loucif, A. M. Albadri, Synthesis of LaXO3 (X = Fe, Mn, Cr, Ni) Thin Films Using a Simple Spin Coating Set-Up for Resistive Switching Memory Devices. Electronics 12, 4141 (2023).</w:t>
      </w:r>
    </w:p>
    <w:p>
      <w:pPr>
        <w:spacing w:after="120"/>
      </w:pPr>
      <w:r>
        <w:rPr>
          <w:sz w:val="18"/>
          <w:szCs w:val="18"/>
        </w:rPr>
        <w:t xml:space="preserve">[15] P. Nizet et al., Analog control of La0.5Sr0.5FeO3-δ electrical properties through oxygen deficiency induced magnetic transition. Applied Physics Reviews 11, 041426 (2024).</w:t>
      </w:r>
    </w:p>
    <w:p>
      <w:pPr>
        <w:spacing w:after="120"/>
      </w:pPr>
      <w:r>
        <w:rPr>
          <w:sz w:val="18"/>
          <w:szCs w:val="18"/>
        </w:rPr>
        <w:t xml:space="preserve">[16] S. Asanuma, H. Akoh, H. Yamada, A. Sawa, Relationship between resistive switching characteristics and band diagrams of Ti/Pr1-xCaxMnO3 junctions. Physical Review B 80, 235113 (2009).</w:t>
      </w:r>
    </w:p>
    <w:p>
      <w:pPr>
        <w:spacing w:after="120"/>
      </w:pPr>
      <w:r>
        <w:rPr>
          <w:sz w:val="18"/>
          <w:szCs w:val="18"/>
        </w:rPr>
        <w:t xml:space="preserve">[17] V. Lähteenlahti, A. Schulman, A. Beiranvand, H. Huhtinen, P. Paturi, Electron Doping Effect in the Resistive Switching Properties of Al/Gd1-xCaxMnO3/Au Memristor Devices. ACS Applied Materials &amp; Interfaces 13, 18365–18371 (2021).</w:t>
      </w:r>
    </w:p>
    <w:p>
      <w:pPr>
        <w:spacing w:after="120"/>
      </w:pPr>
      <w:r>
        <w:rPr>
          <w:sz w:val="18"/>
          <w:szCs w:val="18"/>
        </w:rPr>
        <w:t xml:space="preserve">[18]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[19]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[20]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[21] M. Wuttig et al., Revisiting the Nature of Chemical Bonding in Chalcogenides to Explain and Design their Properties. Advanced Materials 35, 2208485 (2023).</w:t>
      </w:r>
    </w:p>
    <w:p>
      <w:pPr>
        <w:spacing w:after="120"/>
      </w:pPr>
      <w:r>
        <w:rPr>
          <w:sz w:val="18"/>
          <w:szCs w:val="18"/>
        </w:rPr>
        <w:t xml:space="preserve">[22] J. A. Santana, J. T. Krogel, P. R. C. Kent, F. A. Reboredo, Diffusion quantum Monte Carlo calculations of SrFeO3 and LaFeO3. The Journal of Chemical Physics 147, 034701 (2017).</w:t>
      </w:r>
    </w:p>
    <w:p>
      <w:pPr>
        <w:spacing w:after="120"/>
      </w:pPr>
      <w:r>
        <w:rPr>
          <w:sz w:val="18"/>
          <w:szCs w:val="18"/>
        </w:rPr>
        <w:t xml:space="preserve">[23] C. Song, H. Luo, J. Xu, Y. Song, Q. Hu, Density functional theory study on conduction mechanisms in LaFeO3 nanofibers for resistive random access memory. Ionics 32, 2427–2437 (2026).</w:t>
      </w:r>
    </w:p>
    <w:p>
      <w:pPr>
        <w:spacing w:after="120"/>
      </w:pPr>
      <w:r>
        <w:rPr>
          <w:sz w:val="18"/>
          <w:szCs w:val="18"/>
        </w:rPr>
        <w:t xml:space="preserve">[24] J. Zaanen, G. A. Sawatzky, J. W. Allen, Band gaps and electronic structure of transition-metal compounds. Physical Review Letters 55, 418–421 (1985).</w:t>
      </w:r>
    </w:p>
    <w:p>
      <w:pPr>
        <w:spacing w:after="120"/>
      </w:pPr>
      <w:r>
        <w:rPr>
          <w:sz w:val="18"/>
          <w:szCs w:val="18"/>
        </w:rPr>
        <w:t xml:space="preserve">[25] A. Fujimori, F. Minami, Valence-band photoemission and optical absorption in nickel compounds. Physical Review B 30, 957–971 (1984).</w:t>
      </w:r>
    </w:p>
    <w:p>
      <w:pPr>
        <w:spacing w:after="120"/>
      </w:pPr>
      <w:r>
        <w:rPr>
          <w:sz w:val="18"/>
          <w:szCs w:val="18"/>
        </w:rPr>
        <w:t xml:space="preserve">[26]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[27] T. Saitoh, A. E. Bocquet, T. Mizokawa, A. Fujimori, Systematic variation of the electronic structure of 3d transition-metal compounds. Physical Review B 52, 7934–7938 (1995).</w:t>
      </w:r>
    </w:p>
    <w:p>
      <w:pPr>
        <w:spacing w:after="120"/>
      </w:pPr>
      <w:r>
        <w:rPr>
          <w:sz w:val="18"/>
          <w:szCs w:val="18"/>
        </w:rPr>
        <w:t xml:space="preserve">[28] S. Nimkar, D. D. Sarma, H. R. Krishnamurthy, S. Ramasesha, Mean-field results of the multiple-band extended Hubbard model for the square-planar CuO2 lattice. Physical Review B 48, 7355–7363 (1993).</w:t>
      </w:r>
    </w:p>
    <w:p>
      <w:pPr>
        <w:spacing w:after="120"/>
      </w:pPr>
      <w:r>
        <w:rPr>
          <w:sz w:val="18"/>
          <w:szCs w:val="18"/>
        </w:rPr>
        <w:t xml:space="preserve">[29]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pStyle w:val="Heading1"/>
        <w:spacing w:after="120" w:before="240"/>
      </w:pPr>
      <w:r>
        <w:t xml:space="preserve">8  Notes before submission</w:t>
      </w:r>
    </w:p>
    <w:p>
      <w:pPr>
        <w:spacing w:after="120"/>
      </w:pPr>
      <w:r>
        <w:rPr>
          <w:sz w:val="18"/>
          <w:szCs w:val="18"/>
        </w:rPr>
        <w:t xml:space="preserve">• Verify all bracketed programme details (rates, deadlines, current call conditions) against the funder’s current documentation. • Coordinate the proposal with Prof. Chueh and fix the German/European host institution. • European host institution acts as applicant – letter of commitment, supervision agreement (both hosts) and training plan required per MSCA template. • Manuscript placeholders in the publication list ([E1]) to be updated at submission time.</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2026-08-10T20:07:02.294Z</dcterms:created>
  <dcterms:modified xsi:type="dcterms:W3CDTF">2026-08-10T20:07:02.294Z</dcterms:modified>
</cp:coreProperties>
</file>

<file path=docProps/custom.xml><?xml version="1.0" encoding="utf-8"?>
<Properties xmlns="http://schemas.openxmlformats.org/officeDocument/2006/custom-properties" xmlns:vt="http://schemas.openxmlformats.org/officeDocument/2006/docPropsVTypes"/>
</file>