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DFG Walter Benjamin Programme</w:t>
      </w:r>
    </w:p>
    <w:p>
      <w:pPr>
        <w:pStyle w:val="Title"/>
      </w:pPr>
      <w:r>
        <w:t xml:space="preserve">Covalency as an Experimental Descriptor of Memristive Switching: the La1-xSrxCoO3-δ Series with its SrCoOx Anchor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shd w:fill="EEF1F5" w:val="clear"/>
            <w:tcMar>
              <w:top w:type="dxa" w:w="50"/>
              <w:left w:type="dxa" w:w="90"/>
              <w:bottom w:type="dxa" w:w="50"/>
              <w:right w:type="dxa" w:w="90"/>
            </w:tcMar>
          </w:tcPr>
          <w:p>
            <w:r>
              <w:rPr>
                <w:b/>
                <w:bCs/>
                <w:sz w:val="19"/>
                <w:szCs w:val="19"/>
              </w:rPr>
              <w:t xml:space="preserve">Applicant</w:t>
            </w:r>
          </w:p>
        </w:tc>
        <w:tc>
          <w:tcPr>
            <w:tcW w:type="dxa" w:w="66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400"/>
            <w:shd w:fill="EEF1F5" w:val="clear"/>
            <w:tcMar>
              <w:top w:type="dxa" w:w="50"/>
              <w:left w:type="dxa" w:w="90"/>
              <w:bottom w:type="dxa" w:w="50"/>
              <w:right w:type="dxa" w:w="90"/>
            </w:tcMar>
          </w:tcPr>
          <w:p>
            <w:r>
              <w:rPr>
                <w:b/>
                <w:bCs/>
                <w:sz w:val="19"/>
                <w:szCs w:val="19"/>
              </w:rPr>
              <w:t xml:space="preserve">Host abroad</w:t>
            </w:r>
          </w:p>
        </w:tc>
        <w:tc>
          <w:tcPr>
            <w:tcW w:type="dxa" w:w="66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(Stanford Synchrotron Radiation Lightsource, SSRL)</w:t>
            </w:r>
          </w:p>
        </w:tc>
      </w:tr>
      <w:tr>
        <w:tc>
          <w:tcPr>
            <w:tcW w:type="dxa" w:w="2400"/>
            <w:shd w:fill="EEF1F5" w:val="clear"/>
            <w:tcMar>
              <w:top w:type="dxa" w:w="50"/>
              <w:left w:type="dxa" w:w="90"/>
              <w:bottom w:type="dxa" w:w="50"/>
              <w:right w:type="dxa" w:w="90"/>
            </w:tcMar>
          </w:tcPr>
          <w:p>
            <w:r>
              <w:rPr>
                <w:b/>
                <w:bCs/>
                <w:sz w:val="19"/>
                <w:szCs w:val="19"/>
              </w:rPr>
              <w:t xml:space="preserve">German / European host</w:t>
            </w:r>
          </w:p>
        </w:tc>
        <w:tc>
          <w:tcPr>
            <w:tcW w:type="dxa" w:w="6672"/>
            <w:tcMar>
              <w:top w:type="dxa" w:w="50"/>
              <w:left w:type="dxa" w:w="90"/>
              <w:bottom w:type="dxa" w:w="50"/>
              <w:right w:type="dxa" w:w="90"/>
            </w:tcMar>
          </w:tcPr>
          <w:p>
            <w:r>
              <w:rPr>
                <w:b w:val="false"/>
                <w:bCs w:val="false"/>
                <w:sz w:val="19"/>
                <w:szCs w:val="19"/>
              </w:rPr>
              <w:t xml:space="preserve">[RWTH Aachen University or Forschungszentrum Jülich – to be fixed; hosts the return/reintegration phase where applicable]</w:t>
            </w:r>
          </w:p>
        </w:tc>
      </w:tr>
      <w:tr>
        <w:tc>
          <w:tcPr>
            <w:tcW w:type="dxa" w:w="2400"/>
            <w:shd w:fill="EEF1F5" w:val="clear"/>
            <w:tcMar>
              <w:top w:type="dxa" w:w="50"/>
              <w:left w:type="dxa" w:w="90"/>
              <w:bottom w:type="dxa" w:w="50"/>
              <w:right w:type="dxa" w:w="90"/>
            </w:tcMar>
          </w:tcPr>
          <w:p>
            <w:r>
              <w:rPr>
                <w:b/>
                <w:bCs/>
                <w:sz w:val="19"/>
                <w:szCs w:val="19"/>
              </w:rPr>
              <w:t xml:space="preserve">Duration</w:t>
            </w:r>
          </w:p>
        </w:tc>
        <w:tc>
          <w:tcPr>
            <w:tcW w:type="dxa" w:w="6672"/>
            <w:tcMar>
              <w:top w:type="dxa" w:w="50"/>
              <w:left w:type="dxa" w:w="90"/>
              <w:bottom w:type="dxa" w:w="50"/>
              <w:right w:type="dxa" w:w="90"/>
            </w:tcMar>
          </w:tcPr>
          <w:p>
            <w:r>
              <w:rPr>
                <w:b w:val="false"/>
                <w:bCs w:val="false"/>
                <w:sz w:val="19"/>
                <w:szCs w:val="19"/>
              </w:rPr>
              <w:t xml:space="preserve">24 months (+ return module)</w:t>
            </w:r>
          </w:p>
        </w:tc>
      </w:tr>
      <w:tr>
        <w:tc>
          <w:tcPr>
            <w:tcW w:type="dxa" w:w="2400"/>
            <w:shd w:fill="EEF1F5" w:val="clear"/>
            <w:tcMar>
              <w:top w:type="dxa" w:w="50"/>
              <w:left w:type="dxa" w:w="90"/>
              <w:bottom w:type="dxa" w:w="50"/>
              <w:right w:type="dxa" w:w="90"/>
            </w:tcMar>
          </w:tcPr>
          <w:p>
            <w:r>
              <w:rPr>
                <w:b/>
                <w:bCs/>
                <w:sz w:val="19"/>
                <w:szCs w:val="19"/>
              </w:rPr>
              <w:t xml:space="preserve">Format</w:t>
            </w:r>
          </w:p>
        </w:tc>
        <w:tc>
          <w:tcPr>
            <w:tcW w:type="dxa" w:w="6672"/>
            <w:tcMar>
              <w:top w:type="dxa" w:w="50"/>
              <w:left w:type="dxa" w:w="90"/>
              <w:bottom w:type="dxa" w:w="50"/>
              <w:right w:type="dxa" w:w="90"/>
            </w:tcMar>
          </w:tcPr>
          <w:p>
            <w:r>
              <w:rPr>
                <w:b w:val="false"/>
                <w:bCs w:val="false"/>
                <w:sz w:val="19"/>
                <w:szCs w:val="19"/>
              </w:rPr>
              <w:t xml:space="preserve">Walter Benjamin fellowship for a 24-month stay abroad (Stanford University / SLAC); monthly stipend plus allowances [insert current DFG rates]; on return, DFG return funding (up to 12 months, position in Germany) [verify current terms]</w:t>
            </w:r>
          </w:p>
        </w:tc>
      </w:tr>
      <w:tr>
        <w:tc>
          <w:tcPr>
            <w:tcW w:type="dxa" w:w="2400"/>
            <w:shd w:fill="EEF1F5" w:val="clear"/>
            <w:tcMar>
              <w:top w:type="dxa" w:w="50"/>
              <w:left w:type="dxa" w:w="90"/>
              <w:bottom w:type="dxa" w:w="50"/>
              <w:right w:type="dxa" w:w="90"/>
            </w:tcMar>
          </w:tcPr>
          <w:p>
            <w:r>
              <w:rPr>
                <w:b/>
                <w:bCs/>
                <w:sz w:val="19"/>
                <w:szCs w:val="19"/>
              </w:rPr>
              <w:t xml:space="preserve">Funding body</w:t>
            </w:r>
          </w:p>
        </w:tc>
        <w:tc>
          <w:tcPr>
            <w:tcW w:type="dxa" w:w="6672"/>
            <w:tcMar>
              <w:top w:type="dxa" w:w="50"/>
              <w:left w:type="dxa" w:w="90"/>
              <w:bottom w:type="dxa" w:w="50"/>
              <w:right w:type="dxa" w:w="90"/>
            </w:tcMar>
          </w:tcPr>
          <w:p>
            <w:r>
              <w:rPr>
                <w:b w:val="false"/>
                <w:bCs w:val="false"/>
                <w:sz w:val="19"/>
                <w:szCs w:val="19"/>
              </w:rPr>
              <w:t xml:space="preserve">DFG</w:t>
            </w:r>
          </w:p>
        </w:tc>
      </w:tr>
      <w:tr>
        <w:tc>
          <w:tcPr>
            <w:tcW w:type="dxa" w:w="2400"/>
            <w:shd w:fill="EEF1F5" w:val="clear"/>
            <w:tcMar>
              <w:top w:type="dxa" w:w="50"/>
              <w:left w:type="dxa" w:w="90"/>
              <w:bottom w:type="dxa" w:w="50"/>
              <w:right w:type="dxa" w:w="90"/>
            </w:tcMar>
          </w:tcPr>
          <w:p>
            <w:r>
              <w:rPr>
                <w:b/>
                <w:bCs/>
                <w:sz w:val="19"/>
                <w:szCs w:val="19"/>
              </w:rPr>
              <w:t xml:space="preserve">Eligibility</w:t>
            </w:r>
          </w:p>
        </w:tc>
        <w:tc>
          <w:tcPr>
            <w:tcW w:type="dxa" w:w="6672"/>
            <w:tcMar>
              <w:top w:type="dxa" w:w="50"/>
              <w:left w:type="dxa" w:w="90"/>
              <w:bottom w:type="dxa" w:w="50"/>
              <w:right w:type="dxa" w:w="90"/>
            </w:tcMar>
          </w:tcPr>
          <w:p>
            <w:r>
              <w:rPr>
                <w:b w:val="false"/>
                <w:bCs w:val="false"/>
                <w:sz w:val="19"/>
                <w:szCs w:val="19"/>
              </w:rPr>
              <w:t xml:space="preserve">Early postdoctoral career phase; application possible at any time (no deadlines)</w:t>
            </w:r>
          </w:p>
        </w:tc>
      </w:tr>
      <w:tr>
        <w:tc>
          <w:tcPr>
            <w:tcW w:type="dxa" w:w="2400"/>
            <w:shd w:fill="EEF1F5" w:val="clear"/>
            <w:tcMar>
              <w:top w:type="dxa" w:w="50"/>
              <w:left w:type="dxa" w:w="90"/>
              <w:bottom w:type="dxa" w:w="50"/>
              <w:right w:type="dxa" w:w="90"/>
            </w:tcMar>
          </w:tcPr>
          <w:p>
            <w:r>
              <w:rPr>
                <w:b/>
                <w:bCs/>
                <w:sz w:val="19"/>
                <w:szCs w:val="19"/>
              </w:rPr>
              <w:t xml:space="preserve">Application</w:t>
            </w:r>
          </w:p>
        </w:tc>
        <w:tc>
          <w:tcPr>
            <w:tcW w:type="dxa" w:w="6672"/>
            <w:tcMar>
              <w:top w:type="dxa" w:w="50"/>
              <w:left w:type="dxa" w:w="90"/>
              <w:bottom w:type="dxa" w:w="50"/>
              <w:right w:type="dxa" w:w="90"/>
            </w:tcMar>
          </w:tcPr>
          <w:p>
            <w:r>
              <w:rPr>
                <w:b w:val="false"/>
                <w:bCs w:val="false"/>
                <w:sz w:val="19"/>
                <w:szCs w:val="19"/>
              </w:rPr>
              <w:t xml:space="preserve">DFG proposal format (project description, CV, host confirmation), via elan portal</w:t>
            </w:r>
          </w:p>
        </w:tc>
      </w:tr>
      <w:tr>
        <w:tc>
          <w:tcPr>
            <w:tcW w:type="dxa" w:w="2400"/>
            <w:shd w:fill="EEF1F5" w:val="clear"/>
            <w:tcMar>
              <w:top w:type="dxa" w:w="50"/>
              <w:left w:type="dxa" w:w="90"/>
              <w:bottom w:type="dxa" w:w="50"/>
              <w:right w:type="dxa" w:w="90"/>
            </w:tcMar>
          </w:tcPr>
          <w:p>
            <w:r>
              <w:rPr>
                <w:b/>
                <w:bCs/>
                <w:sz w:val="19"/>
                <w:szCs w:val="19"/>
              </w:rPr>
              <w:t xml:space="preserve">Special feature</w:t>
            </w:r>
          </w:p>
        </w:tc>
        <w:tc>
          <w:tcPr>
            <w:tcW w:type="dxa" w:w="6672"/>
            <w:tcMar>
              <w:top w:type="dxa" w:w="50"/>
              <w:left w:type="dxa" w:w="90"/>
              <w:bottom w:type="dxa" w:w="50"/>
              <w:right w:type="dxa" w:w="90"/>
            </w:tcMar>
          </w:tcPr>
          <w:p>
            <w:r>
              <w:rPr>
                <w:b w:val="false"/>
                <w:bCs w:val="false"/>
                <w:sz w:val="19"/>
                <w:szCs w:val="19"/>
              </w:rPr>
              <w:t xml:space="preserve">Same funding organisation as the planned Emmy Noether group – one continuous DFG track from pilot to group</w:t>
            </w:r>
          </w:p>
        </w:tc>
      </w:tr>
    </w:tbl>
    <w:p>
      <w:pPr>
        <w:spacing w:after="120"/>
      </w:pPr>
      <w:r>
        <w:rPr>
          <w:i/>
          <w:iCs/>
          <w:sz w:val="18"/>
          <w:szCs w:val="18"/>
        </w:rPr>
        <w:t xml:space="preserve">Standalone draft proposal for this funding line (status 09.08.2026). Only one of the parallel programme drafts of this folder will be pursued for the research stay – check each funder’s double-funding rules before submission. Materials selection follows the portfolio’s three-criterion evidence logic; all cited references are individually verified against publisher records (see Literaturpruefung_2026-08-09 and Materialscreening_2026-08-09).</w:t>
      </w:r>
    </w:p>
    <w:p>
      <w:pPr>
        <w:pStyle w:val="Heading1"/>
        <w:spacing w:after="120" w:before="240"/>
      </w:pPr>
      <w:r>
        <w:t xml:space="preserve">1  Research question and scientific significance</w:t>
      </w:r>
    </w:p>
    <w:p>
      <w:pPr>
        <w:spacing w:after="120"/>
      </w:pPr>
      <w:r>
        <w:t xml:space="preserve">Memristive devices based on the valence change mechanism (VCM) switch their resistance through field-driven creation and migration of oxygen vacancies (VO) [1–3]. The oxygen-vacancy formation energy (EV) enters all quantitative switching models exponentially [3, 4] – and yet it has never been measured systematically how EV determines the central figures of merit. Energy research, by contrast, has quantitatively established that EV in perovskites is controlled by the metal–oxygen covalency [5–8]. My project connects these two worlds experimentally – using La1-xSrxCoO3-δ (LSCO), the cobaltite series with the most explicitly documented covalency→EV link of any perovskite family.</w:t>
      </w:r>
    </w:p>
    <w:p>
      <w:pPr>
        <w:spacing w:after="120"/>
      </w:pPr>
      <w:r>
        <w:t xml:space="preserve">LSCO satisfies all three evidence criteria of my descriptor programme. (i) Covalency vs. stoichiometry is measured: O-1s XAS across the series shows the O-2p hole states growing systematically with Sr content [9], with the O-K pre-edge usable as a series-internal hybridisation measure [12, 13]. (ii) EV vs. covalency is anchored twice over – experimentally through the classical oxygen-nonstoichiometry defect chemistry of Mizusaki et al. [10], and mechanistically through Mefford et al., who explicitly trace the vacancy formation energetics of LSCO to the Co–O covalency [11]. (iii) Switching at a noble-metal interface is demonstrated at the Sr-rich end: the “oxygen sponge” SrCoOx [14] switches topotactically in Au-active stacks – Au/SrCoO2.5/La0.7Sr0.3MnO3 [15], Au/SrCoO2.5/Nb:SrTiO3 [16] – with analog synaptic operation [17], strain control [18] and low-power operation [19] all published. The gap: for intermediate compositions 0 &lt; x &lt; 1 only reactive-electrode (Ag) devices exist [21] – no noble-interface composition series. Because the end member already switches under inert electrodes, this gap is an optimisation space, not a feasibility risk: the project both maps the covalency correlation and optimises the switching window via the Sr content, in direct analogy to the ferrite series of my group programme (LSFO with its switching-proven SrFeOx end member).</w:t>
      </w:r>
    </w:p>
    <w:p>
      <w:pPr>
        <w:spacing w:after="120"/>
      </w:pPr>
      <w:r>
        <w:t xml:space="preserve">Known design constraints are addressed openly: LSCO metallises percolatively around x ≈ 0.18, Co spin-state degrees of freedom add a second electronic variable, and the Sr-rich end approaches brownmillerite vacancy ordering [14, 20]. The series therefore concentrates on x = 0–0.5 with dense sampling around the insulator–metal boundary and treats the topotactic end member as a charted mechanism boundary – the same honest framing that the ferrite series uses. My central hypothesis: the usable switching window of noble-contacted LSCO devices scales with the XAS-measured covalency and is maximal at intermediate x (“Goldilocks zone”).</w:t>
      </w:r>
    </w:p>
    <w:p>
      <w:pPr>
        <w:spacing w:after="120"/>
      </w:pPr>
      <w:r>
        <w:t xml:space="preserve">Conceptual footing (sharpened after expert feedback, 08/2026): throughout this project, “covalency” is used in the quantitative sense of the charge-transfer/cluster-model framework – charge-transfer energy Δ, on-site Coulomb energy U and transfer integrals, in the Zaanen–Sawatzky–Allen classification [26] and as extracted compound by compound by the configuration-interaction analyses of Fujimori, Bocquet, Saitoh, Sarma and co-workers [27–30]. O-K pre-edge intensities serve as a relative, series-internal hybridisation measure only; their limits as an absolute covalency scale (core-hole effects, ligand-hole distribution, band effects) are treated explicitly [31], and the conflation of hybridisation with covalency that is common in the catalysis-descriptor literature is deliberately avoided – the descriptor scale of this project is calibrated against cluster-model analysis, not against pre-edge intensity alone.</w:t>
      </w:r>
    </w:p>
    <w:p>
      <w:pPr>
        <w:pStyle w:val="Heading1"/>
        <w:spacing w:after="120" w:before="240"/>
      </w:pPr>
      <w:r>
        <w:t xml:space="preserve">2  Programme fit and strategy</w:t>
      </w:r>
    </w:p>
    <w:p>
      <w:pPr>
        <w:spacing w:after="120"/>
      </w:pPr>
      <w:r>
        <w:t xml:space="preserve">The Walter Benjamin Programme funds the project as a 24-month fellowship at the place best suited to it – the Chueh group at Stanford – and its return module (up to 12 months, position in Germany) bridges directly into the Emmy Noether application: reviewers see the entire path (pilot project → return → junior research group) within one funding organisation, with the COMET-Ox group proposal as the declared perspective.</w:t>
      </w:r>
    </w:p>
    <w:p>
      <w:pPr>
        <w:pStyle w:val="Heading1"/>
        <w:spacing w:after="120" w:before="240"/>
      </w:pPr>
      <w:r>
        <w:t xml:space="preserve">3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oxide thin films [22–24]. The group’s seminal work on the redox activity of oxygen anions in oxygen-deficient perovskites [23] is a direct methodological blueprint for my project; the Nature Materials study on atomically defined LaNiO3 surfaces [24] – with Christoph Baeumer from the Jülich school as first author – furthermore demonstrates that the group routinely masters epitaxial oxide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The constellation is thus a genuine two-way transfer of knowledge. For complementary epitaxial growth questions, the environment of the Stanford Institute for Materials and Energy Sciences (SIMES) at SLAC is available. [Host choice under review after first-hand feedback (08/2026): the Chueh group’s own perovskite/oxide-redox activities have largely moved on; the relevant lines are continued in alumni groups – C. Baeumer (University of Twente), Q. Lu (Westlake University), J. T. Mefford, D. Chen. If XAS quantification is the methodological core, a host with direct synchrotron access (e.g. PSI/SLS, MAX IV, Diamond, or a beamline-affiliated group) is a serious alternative. Re-validate and, if necessary, rewrite this section before submission.]</w:t>
      </w:r>
    </w:p>
    <w:p>
      <w:pPr>
        <w:pStyle w:val="Heading1"/>
        <w:spacing w:after="120" w:before="240"/>
      </w:pPr>
      <w:r>
        <w:t xml:space="preserve">4  Work programme</w:t>
      </w:r>
    </w:p>
    <w:p>
      <w:pPr>
        <w:spacing w:after="120"/>
      </w:pPr>
      <w:r>
        <w:rPr>
          <w:b/>
          <w:bCs/>
        </w:rPr>
        <w:t xml:space="preserve">WP1 – Synthesis and descriptor measurement (months 1–10)</w:t>
      </w:r>
    </w:p>
    <w:p>
      <w:pPr>
        <w:spacing w:after="120"/>
      </w:pPr>
      <w:r>
        <w:t xml:space="preserve">PLD growth of epitaxial La1-xSrxCoO3-δ films (x = 0; 0.1; 0.2; 0.3; 0.4; 0.5, dense sampling across the percolative metallisation) plus the SrCoO2.5 anchor composition on Nb:SrTiO3 and La0.7Sr0.3MnO3-buffered SrTiO3 in the Stanford/SLAC thin-film laboratories; structural validation (XRD, AFM); cation and oxygen stoichiometry (XPS, RBS where required). In parallel, first XAS campaign at SSRL: O-K pre-edge quantification following [12] and Co-L2,3 valence analysis for every composition → experimental covalency scale, benchmarked against the published series spectroscopy [9] and defect chemistry [10]. Milestone M1 (month 10): validated sample series with complete descriptor set.</w:t>
      </w:r>
    </w:p>
    <w:p>
      <w:pPr>
        <w:spacing w:after="120"/>
      </w:pPr>
      <w:r>
        <w:rPr>
          <w:b/>
          <w:bCs/>
        </w:rPr>
        <w:t xml:space="preserve">WP2 – Devices and switching characterisation (months 8–18)</w:t>
      </w:r>
    </w:p>
    <w:p>
      <w:pPr>
        <w:spacing w:after="120"/>
      </w:pPr>
      <w:r>
        <w:t xml:space="preserve">Two device flavours per composition, processed photolithographically with ≥ 30 nominally identical cells each: (i) Au-active pads replicating the proven end-member geometry [15, 16] across the whole series, and (ii) Pt pads as the second inert flavour. Quasistatic and pulsed characterisation under the statistics protocol established in my doctorate (ON/OFF at defined read-out voltage, forming requirement, kinetics, temperature-accelerated retention, endurance). The SrCoOx anchor cells reproduce the published benchmark and de-risk the processing. Milestone M2 (month 18): switching figures of merit as a function of x with robust statistics.</w:t>
      </w:r>
    </w:p>
    <w:p>
      <w:pPr>
        <w:spacing w:after="120"/>
      </w:pPr>
      <w:r>
        <w:rPr>
          <w:b/>
          <w:bCs/>
        </w:rPr>
        <w:t xml:space="preserve">WP3 – Correlation, operando validation and publication (months 16–24)</w:t>
      </w:r>
    </w:p>
    <w:p>
      <w:pPr>
        <w:spacing w:after="120"/>
      </w:pPr>
      <w:r>
        <w:t xml:space="preserve">Correlation analysis covalency (XAS) ↔ EV (defect chemistry [10], descriptor models [5–8, 11]) ↔ switching metrics; test of the optimum hypothesis. Second SSRL campaign: XAS on switched cells (ex-situ before/after switching, operando if successful) to verify that composition-dependent differences rest on different VO dynamics. Publication of the first covalency-resolved cobaltite memristor study; dataset released following FAIR principles. Milestone M3 (month 24): submitted publication(s), public dataset.</w:t>
      </w:r>
    </w:p>
    <w:p>
      <w:pPr>
        <w:pStyle w:val="Heading1"/>
        <w:spacing w:after="120" w:before="240"/>
      </w:pPr>
      <w:r>
        <w:t xml:space="preserve">5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72"/>
        <w:gridCol w:w="775"/>
        <w:gridCol w:w="775"/>
        <w:gridCol w:w="775"/>
        <w:gridCol w:w="775"/>
        <w:gridCol w:w="775"/>
        <w:gridCol w:w="775"/>
        <w:gridCol w:w="775"/>
        <w:gridCol w:w="775"/>
      </w:tblGrid>
      <w:tr>
        <w:tc>
          <w:tcPr>
            <w:tcW w:type="dxa" w:w="2872"/>
            <w:shd w:fill="EEF1F5" w:val="clear"/>
            <w:tcMar>
              <w:top w:type="dxa" w:w="50"/>
              <w:left w:type="dxa" w:w="90"/>
              <w:bottom w:type="dxa" w:w="50"/>
              <w:right w:type="dxa" w:w="90"/>
            </w:tcMar>
          </w:tcPr>
          <w:p>
            <w:r>
              <w:rPr>
                <w:b/>
                <w:bCs/>
                <w:sz w:val="19"/>
                <w:szCs w:val="19"/>
              </w:rPr>
              <w:t xml:space="preserve">Work package</w:t>
            </w:r>
          </w:p>
        </w:tc>
        <w:tc>
          <w:tcPr>
            <w:tcW w:type="dxa" w:w="775"/>
            <w:shd w:fill="EEF1F5" w:val="clear"/>
            <w:tcMar>
              <w:top w:type="dxa" w:w="50"/>
              <w:left w:type="dxa" w:w="90"/>
              <w:bottom w:type="dxa" w:w="50"/>
              <w:right w:type="dxa" w:w="90"/>
            </w:tcMar>
          </w:tcPr>
          <w:p>
            <w:r>
              <w:rPr>
                <w:b/>
                <w:bCs/>
                <w:sz w:val="19"/>
                <w:szCs w:val="19"/>
              </w:rPr>
              <w:t xml:space="preserve">Q1</w:t>
            </w:r>
          </w:p>
        </w:tc>
        <w:tc>
          <w:tcPr>
            <w:tcW w:type="dxa" w:w="775"/>
            <w:shd w:fill="EEF1F5" w:val="clear"/>
            <w:tcMar>
              <w:top w:type="dxa" w:w="50"/>
              <w:left w:type="dxa" w:w="90"/>
              <w:bottom w:type="dxa" w:w="50"/>
              <w:right w:type="dxa" w:w="90"/>
            </w:tcMar>
          </w:tcPr>
          <w:p>
            <w:r>
              <w:rPr>
                <w:b/>
                <w:bCs/>
                <w:sz w:val="19"/>
                <w:szCs w:val="19"/>
              </w:rPr>
              <w:t xml:space="preserve">Q2</w:t>
            </w:r>
          </w:p>
        </w:tc>
        <w:tc>
          <w:tcPr>
            <w:tcW w:type="dxa" w:w="775"/>
            <w:shd w:fill="EEF1F5" w:val="clear"/>
            <w:tcMar>
              <w:top w:type="dxa" w:w="50"/>
              <w:left w:type="dxa" w:w="90"/>
              <w:bottom w:type="dxa" w:w="50"/>
              <w:right w:type="dxa" w:w="90"/>
            </w:tcMar>
          </w:tcPr>
          <w:p>
            <w:r>
              <w:rPr>
                <w:b/>
                <w:bCs/>
                <w:sz w:val="19"/>
                <w:szCs w:val="19"/>
              </w:rPr>
              <w:t xml:space="preserve">Q3</w:t>
            </w:r>
          </w:p>
        </w:tc>
        <w:tc>
          <w:tcPr>
            <w:tcW w:type="dxa" w:w="775"/>
            <w:shd w:fill="EEF1F5" w:val="clear"/>
            <w:tcMar>
              <w:top w:type="dxa" w:w="50"/>
              <w:left w:type="dxa" w:w="90"/>
              <w:bottom w:type="dxa" w:w="50"/>
              <w:right w:type="dxa" w:w="90"/>
            </w:tcMar>
          </w:tcPr>
          <w:p>
            <w:r>
              <w:rPr>
                <w:b/>
                <w:bCs/>
                <w:sz w:val="19"/>
                <w:szCs w:val="19"/>
              </w:rPr>
              <w:t xml:space="preserve">Q4</w:t>
            </w:r>
          </w:p>
        </w:tc>
        <w:tc>
          <w:tcPr>
            <w:tcW w:type="dxa" w:w="775"/>
            <w:shd w:fill="EEF1F5" w:val="clear"/>
            <w:tcMar>
              <w:top w:type="dxa" w:w="50"/>
              <w:left w:type="dxa" w:w="90"/>
              <w:bottom w:type="dxa" w:w="50"/>
              <w:right w:type="dxa" w:w="90"/>
            </w:tcMar>
          </w:tcPr>
          <w:p>
            <w:r>
              <w:rPr>
                <w:b/>
                <w:bCs/>
                <w:sz w:val="19"/>
                <w:szCs w:val="19"/>
              </w:rPr>
              <w:t xml:space="preserve">Q5</w:t>
            </w:r>
          </w:p>
        </w:tc>
        <w:tc>
          <w:tcPr>
            <w:tcW w:type="dxa" w:w="775"/>
            <w:shd w:fill="EEF1F5" w:val="clear"/>
            <w:tcMar>
              <w:top w:type="dxa" w:w="50"/>
              <w:left w:type="dxa" w:w="90"/>
              <w:bottom w:type="dxa" w:w="50"/>
              <w:right w:type="dxa" w:w="90"/>
            </w:tcMar>
          </w:tcPr>
          <w:p>
            <w:r>
              <w:rPr>
                <w:b/>
                <w:bCs/>
                <w:sz w:val="19"/>
                <w:szCs w:val="19"/>
              </w:rPr>
              <w:t xml:space="preserve">Q6</w:t>
            </w:r>
          </w:p>
        </w:tc>
        <w:tc>
          <w:tcPr>
            <w:tcW w:type="dxa" w:w="775"/>
            <w:shd w:fill="EEF1F5" w:val="clear"/>
            <w:tcMar>
              <w:top w:type="dxa" w:w="50"/>
              <w:left w:type="dxa" w:w="90"/>
              <w:bottom w:type="dxa" w:w="50"/>
              <w:right w:type="dxa" w:w="90"/>
            </w:tcMar>
          </w:tcPr>
          <w:p>
            <w:r>
              <w:rPr>
                <w:b/>
                <w:bCs/>
                <w:sz w:val="19"/>
                <w:szCs w:val="19"/>
              </w:rPr>
              <w:t xml:space="preserve">Q7</w:t>
            </w:r>
          </w:p>
        </w:tc>
        <w:tc>
          <w:tcPr>
            <w:tcW w:type="dxa" w:w="775"/>
            <w:shd w:fill="EEF1F5" w:val="clear"/>
            <w:tcMar>
              <w:top w:type="dxa" w:w="50"/>
              <w:left w:type="dxa" w:w="90"/>
              <w:bottom w:type="dxa" w:w="50"/>
              <w:right w:type="dxa" w:w="90"/>
            </w:tcMar>
          </w:tcPr>
          <w:p>
            <w:r>
              <w:rPr>
                <w:b/>
                <w:bCs/>
                <w:sz w:val="19"/>
                <w:szCs w:val="19"/>
              </w:rPr>
              <w:t xml:space="preserve">Q8</w:t>
            </w:r>
          </w:p>
        </w:tc>
      </w:tr>
      <w:tr>
        <w:tc>
          <w:tcPr>
            <w:tcW w:type="dxa" w:w="2872"/>
            <w:tcMar>
              <w:top w:type="dxa" w:w="50"/>
              <w:left w:type="dxa" w:w="90"/>
              <w:bottom w:type="dxa" w:w="50"/>
              <w:right w:type="dxa" w:w="90"/>
            </w:tcMar>
          </w:tcPr>
          <w:p>
            <w:r>
              <w:rPr>
                <w:b w:val="false"/>
                <w:bCs w:val="false"/>
                <w:sz w:val="19"/>
                <w:szCs w:val="19"/>
              </w:rPr>
              <w:t xml:space="preserve">WP1 Synthesis + XAS descriptors</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r>
      <w:tr>
        <w:tc>
          <w:tcPr>
            <w:tcW w:type="dxa" w:w="2872"/>
            <w:tcMar>
              <w:top w:type="dxa" w:w="50"/>
              <w:left w:type="dxa" w:w="90"/>
              <w:bottom w:type="dxa" w:w="50"/>
              <w:right w:type="dxa" w:w="90"/>
            </w:tcMar>
          </w:tcPr>
          <w:p>
            <w:r>
              <w:rPr>
                <w:b w:val="false"/>
                <w:bCs w:val="false"/>
                <w:sz w:val="19"/>
                <w:szCs w:val="19"/>
              </w:rPr>
              <w:t xml:space="preserve">WP2 Devices + switching statistics</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r>
      <w:tr>
        <w:tc>
          <w:tcPr>
            <w:tcW w:type="dxa" w:w="2872"/>
            <w:tcMar>
              <w:top w:type="dxa" w:w="50"/>
              <w:left w:type="dxa" w:w="90"/>
              <w:bottom w:type="dxa" w:w="50"/>
              <w:right w:type="dxa" w:w="90"/>
            </w:tcMar>
          </w:tcPr>
          <w:p>
            <w:r>
              <w:rPr>
                <w:b w:val="false"/>
                <w:bCs w:val="false"/>
                <w:sz w:val="19"/>
                <w:szCs w:val="19"/>
              </w:rPr>
              <w:t xml:space="preserve">WP3 Correlation + operando + publication</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r>
    </w:tbl>
    <w:p>
      <w:pPr>
        <w:pStyle w:val="Heading1"/>
        <w:spacing w:after="120" w:before="240"/>
      </w:pPr>
      <w:r>
        <w:t xml:space="preserve">6  Career perspective</w:t>
      </w:r>
    </w:p>
    <w:p>
      <w:pPr>
        <w:spacing w:after="120"/>
      </w:pPr>
      <w:r>
        <w:t xml:space="preserve">The project is the building block between the applicant’s doctorate (memristive devices, PLD, switching statistics) and the goal of an own junior research group in Germany on descriptor-based materials development for memristive oxides. The Walter Benjamin fellowship funds the 24-month stay; the DFG return module is used for reintegration into the German oxide-electronics environment (FZ Jülich/RWTH Aachen, JARA) and for submission of the Emmy Noether proposal – one continuous DFG track. The choice of LSCO is deliberate: it is the one perovskite family whose covalency→EV link is already published in quantitative form, and its cobaltite axis pairs naturally with the ferrite series of the planned group programme. The Stanford/SSRL collaboration will be continued as the transatlantic bridge of the future group.</w:t>
      </w:r>
    </w:p>
    <w:p>
      <w:pPr>
        <w:pStyle w:val="Heading1"/>
        <w:spacing w:after="120" w:before="240"/>
      </w:pPr>
      <w:r>
        <w:t xml:space="preserve">7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T. Saitoh et al., Electronic structure of La1-xSrxCoO3 studied by photoemission and x-ray-absorption spectroscopy. Physical Review B 56, 1290 (1997). [verify page range before submission]</w:t>
      </w:r>
    </w:p>
    <w:p>
      <w:pPr>
        <w:spacing w:after="120"/>
      </w:pPr>
      <w:r>
        <w:rPr>
          <w:sz w:val="18"/>
          <w:szCs w:val="18"/>
        </w:rPr>
        <w:t xml:space="preserve">[10] J. Mizusaki, Y. Mima, S. Yamauchi, K. Fueki, H. Tagawa, Nonstoichiometry of the perovskite-type oxides La1-xSrxCoO3-δ. Journal of Solid State Chemistry 80, 102–111 (1989).</w:t>
      </w:r>
    </w:p>
    <w:p>
      <w:pPr>
        <w:spacing w:after="120"/>
      </w:pPr>
      <w:r>
        <w:rPr>
          <w:sz w:val="18"/>
          <w:szCs w:val="18"/>
        </w:rPr>
        <w:t xml:space="preserve">[11] J. T. Mefford et al., Water electrolysis on La1-xSrxCoO3-δ perovskite electrocatalysts. Nature Communications 7, 11053 (2016).</w:t>
      </w:r>
    </w:p>
    <w:p>
      <w:pPr>
        <w:spacing w:after="120"/>
      </w:pPr>
      <w:r>
        <w:rPr>
          <w:sz w:val="18"/>
          <w:szCs w:val="18"/>
        </w:rPr>
        <w:t xml:space="preserve">[12]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[13] F. Frati, M. O. J. Y. Hunault, F. M. F. de Groot, Oxygen K-edge X-ray Absorption Spectra. Chemical Reviews 120, 4056–4110 (2020).</w:t>
      </w:r>
    </w:p>
    <w:p>
      <w:pPr>
        <w:spacing w:after="120"/>
      </w:pPr>
      <w:r>
        <w:rPr>
          <w:sz w:val="18"/>
          <w:szCs w:val="18"/>
        </w:rPr>
        <w:t xml:space="preserve">[14] H. Jeen et al., Reversible redox reactions in an epitaxially stabilized SrCoOx oxygen sponge. Nature Materials 12, 1057–1063 (2013).</w:t>
      </w:r>
    </w:p>
    <w:p>
      <w:pPr>
        <w:spacing w:after="120"/>
      </w:pPr>
      <w:r>
        <w:rPr>
          <w:sz w:val="18"/>
          <w:szCs w:val="18"/>
        </w:rPr>
        <w:t xml:space="preserve">[15] S. K. Acharya et al., Epitaxial Brownmillerite Oxide Thin Films for Reliable Switching Memory. ACS Applied Materials &amp; Interfaces 8, 7902–7911 (2016).</w:t>
      </w:r>
    </w:p>
    <w:p>
      <w:pPr>
        <w:spacing w:after="120"/>
      </w:pPr>
      <w:r>
        <w:rPr>
          <w:sz w:val="18"/>
          <w:szCs w:val="18"/>
        </w:rPr>
        <w:t xml:space="preserve">[16] V. R. Nallagatla et al., Topotactic Phase Transition Driving Memristive Behavior (SrFeO2.5/SrCoO2.5 devices). Advanced Materials 31, 1903391 (2019).</w:t>
      </w:r>
    </w:p>
    <w:p>
      <w:pPr>
        <w:spacing w:after="120"/>
      </w:pPr>
      <w:r>
        <w:rPr>
          <w:sz w:val="18"/>
          <w:szCs w:val="18"/>
        </w:rPr>
        <w:t xml:space="preserve">[17] X. Mou et al., Analog memristive synapse based on topotactic phase transition for high-performance neuromorphic computing and neural network pruning. Science Advances 7, eabh0648 (2021).</w:t>
      </w:r>
    </w:p>
    <w:p>
      <w:pPr>
        <w:spacing w:after="120"/>
      </w:pPr>
      <w:r>
        <w:rPr>
          <w:sz w:val="18"/>
          <w:szCs w:val="18"/>
        </w:rPr>
        <w:t xml:space="preserve">[18] X. Xiang et al., Manipulating the Resistive Switching in Epitaxial SrCoO2.5 Thin-Film-Based Memristors by Strain Engineering. ACS Applied Electronic Materials 4, 2729–2738 (2022).</w:t>
      </w:r>
    </w:p>
    <w:p>
      <w:pPr>
        <w:spacing w:after="120"/>
      </w:pPr>
      <w:r>
        <w:rPr>
          <w:sz w:val="18"/>
          <w:szCs w:val="18"/>
        </w:rPr>
        <w:t xml:space="preserve">[19] H.-Y. Lo et al., Observing topotactic phase transformation and resistive switching behaviors in low power SrCoOx memristor. Nano Energy 72, 104683 (2020).</w:t>
      </w:r>
    </w:p>
    <w:p>
      <w:pPr>
        <w:spacing w:after="120"/>
      </w:pPr>
      <w:r>
        <w:rPr>
          <w:sz w:val="18"/>
          <w:szCs w:val="18"/>
        </w:rPr>
        <w:t xml:space="preserve">[20] M. Kubicek et al., Tensile Lattice Strain Accelerates Oxygen Surface Exchange and Diffusion in La1-xSrxCoO3-δ Thin Films. ACS Nano 7, 3276–3286 (2013).</w:t>
      </w:r>
    </w:p>
    <w:p>
      <w:pPr>
        <w:spacing w:after="120"/>
      </w:pPr>
      <w:r>
        <w:rPr>
          <w:sz w:val="18"/>
          <w:szCs w:val="18"/>
        </w:rPr>
        <w:t xml:space="preserve">[21] Ag/La0.5Sr0.5CoO3-δ/Pt resistive switching. Applied Physics Letters 104, 223505 (2014). [reactive-electrode prior art; complete author list and title before submission]</w:t>
      </w:r>
    </w:p>
    <w:p>
      <w:pPr>
        <w:spacing w:after="120"/>
      </w:pPr>
      <w:r>
        <w:rPr>
          <w:sz w:val="18"/>
          <w:szCs w:val="18"/>
        </w:rPr>
        <w:t xml:space="preserve">[22]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[23]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[24]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[25] M. Wuttig et al., Revisiting the Nature of Chemical Bonding in Chalcogenides to Explain and Design their Properties. Advanced Materials 35, 2208485 (2023).</w:t>
      </w:r>
    </w:p>
    <w:p>
      <w:pPr>
        <w:spacing w:after="120"/>
      </w:pPr>
      <w:r>
        <w:rPr>
          <w:sz w:val="18"/>
          <w:szCs w:val="18"/>
        </w:rPr>
        <w:t xml:space="preserve">[26] J. Zaanen, G. A. Sawatzky, J. W. Allen, Band gaps and electronic structure of transition-metal compounds. Physical Review Letters 55, 418–421 (1985).</w:t>
      </w:r>
    </w:p>
    <w:p>
      <w:pPr>
        <w:spacing w:after="120"/>
      </w:pPr>
      <w:r>
        <w:rPr>
          <w:sz w:val="18"/>
          <w:szCs w:val="18"/>
        </w:rPr>
        <w:t xml:space="preserve">[27] A. Fujimori, F. Minami, Valence-band photoemission and optical absorption in nickel compounds. Physical Review B 30, 957–971 (1984).</w:t>
      </w:r>
    </w:p>
    <w:p>
      <w:pPr>
        <w:spacing w:after="120"/>
      </w:pPr>
      <w:r>
        <w:rPr>
          <w:sz w:val="18"/>
          <w:szCs w:val="18"/>
        </w:rPr>
        <w:t xml:space="preserve">[28] A. E. Bocquet, T. Mizokawa, T. Saitoh, H. Namatame, A. Fujimori, Electronic structure of 3d-transition-metal compounds by analysis of the 2p core-level photoemission spectra. Physical Review B 46, 3771–3784 (1992).</w:t>
      </w:r>
    </w:p>
    <w:p>
      <w:pPr>
        <w:spacing w:after="120"/>
      </w:pPr>
      <w:r>
        <w:rPr>
          <w:sz w:val="18"/>
          <w:szCs w:val="18"/>
        </w:rPr>
        <w:t xml:space="preserve">[29] T. Saitoh, A. E. Bocquet, T. Mizokawa, A. Fujimori, Systematic variation of the electronic structure of 3d transition-metal compounds. Physical Review B 52, 7934–7938 (1995).</w:t>
      </w:r>
    </w:p>
    <w:p>
      <w:pPr>
        <w:spacing w:after="120"/>
      </w:pPr>
      <w:r>
        <w:rPr>
          <w:sz w:val="18"/>
          <w:szCs w:val="18"/>
        </w:rPr>
        <w:t xml:space="preserve">[30] S. Nimkar, D. D. Sarma, H. R. Krishnamurthy, S. Ramasesha, Mean-field results of the multiple-band extended Hubbard model for the square-planar CuO2 lattice. Physical Review B 48, 7355–7363 (1993).</w:t>
      </w:r>
    </w:p>
    <w:p>
      <w:pPr>
        <w:spacing w:after="120"/>
      </w:pPr>
      <w:r>
        <w:rPr>
          <w:sz w:val="18"/>
          <w:szCs w:val="18"/>
        </w:rPr>
        <w:t xml:space="preserve">[31] F. M. F. de Groot, X-ray absorption and dichroism of transition metals and their compounds. Journal of Electron Spectroscopy and Related Phenomena 67, 529–622 (1994).</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pStyle w:val="Heading1"/>
        <w:spacing w:after="120" w:before="240"/>
      </w:pPr>
      <w:r>
        <w:t xml:space="preserve">8  Notes before submission</w:t>
      </w:r>
    </w:p>
    <w:p>
      <w:pPr>
        <w:spacing w:after="120"/>
      </w:pPr>
      <w:r>
        <w:rPr>
          <w:sz w:val="18"/>
          <w:szCs w:val="18"/>
        </w:rPr>
        <w:t xml:space="preserve">• Verify all bracketed programme details (rates, deadlines, current call conditions) against the funder’s current documentation. • Coordinate the proposal with Prof. Chueh and fix the German/European host institution. • Host confirmation from Prof. Chueh and statement of the German return host required; project description per DFG template. • Manuscript placeholders in the publication list ([E1]) to be updated at submission time.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2026-08-10T20:07:02.218Z</dcterms:created>
  <dcterms:modified xsi:type="dcterms:W3CDTF">2026-08-10T20:07:02.218Z</dcterms:modified>
</cp:coreProperties>
</file>

<file path=docProps/custom.xml><?xml version="1.0" encoding="utf-8"?>
<Properties xmlns="http://schemas.openxmlformats.org/officeDocument/2006/custom-properties" xmlns:vt="http://schemas.openxmlformats.org/officeDocument/2006/docPropsVTypes"/>
</file>