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with its switching-proven SrCoOx anchor, measured under inert Au/Pt electrodes – the geometry in which the end member’s switching is already published – with an experimentally measured XAS covalency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covalency scale) that I de-risked on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with its SrCoOx anchor, established the O-K/Co-L covalency scale across it at SSRL, and correlated it with switching in noble-contact devices</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295451038"/>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295451038"/>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295451038"/>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295451038"/>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295451038"/>
        <w:rPr>
          <w:rFonts w:ascii="Arial" w:hAnsi="Arial" w:cs="Arial"/>
          <w:sz w:val="18"/>
          <w:szCs w:val="18"/>
        </w:rPr>
      </w:pPr>
      <w:r>
        <w:rPr>
          <w:rFonts w:ascii="Arial" w:hAnsi="Arial" w:cs="Arial"/>
          <w:sz w:val="18"/>
          <w:szCs w:val="18"/>
        </w:rPr>
        <w:t xml:space="preserve">[43] S. Nimkar, D. D. Sarma, H. R. Krishnamurthy, S. Ramasesha, Physical Review B 48, 7355–7363 (1993).</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covalency descriptors for memristive cobaltites: epitaxial </w:t>
            </w:r>
            <w:r>
              <w:rPr>
                <w:rFonts w:ascii="Arial" w:eastAsia="Times New Roman" w:hAnsi="Arial" w:cs="Arial"/>
                <w:sz w:val="19"/>
                <w:szCs w:val="19"/>
              </w:rPr>
              <w:t xml:space="preserve">La</w:t>
            </w:r>
            <w:r>
              <w:rPr>
                <w:rFonts w:ascii="Arial" w:eastAsia="Times New Roman" w:hAnsi="Arial" w:cs="Arial"/>
                <w:sz w:val="19"/>
                <w:szCs w:val="19"/>
                <w:vertAlign w:val="subscript"/>
              </w:rPr>
              <w:t xml:space="preserve">1-x</w:t>
            </w:r>
            <w:r>
              <w:rPr>
                <w:rFonts w:ascii="Arial" w:eastAsia="Times New Roman" w:hAnsi="Arial" w:cs="Arial"/>
                <w:sz w:val="19"/>
                <w:szCs w:val="19"/>
              </w:rPr>
              <w:t xml:space="preserve">Sr</w:t>
            </w:r>
            <w:r>
              <w:rPr>
                <w:rFonts w:ascii="Arial" w:eastAsia="Times New Roman" w:hAnsi="Arial" w:cs="Arial"/>
                <w:sz w:val="19"/>
                <w:szCs w:val="19"/>
                <w:vertAlign w:val="subscript"/>
              </w:rPr>
              <w:t xml:space="preserve">x</w:t>
            </w:r>
            <w:r>
              <w:rPr>
                <w:rFonts w:ascii="Arial" w:eastAsia="Times New Roman" w:hAnsi="Arial" w:cs="Arial"/>
                <w:sz w:val="19"/>
                <w:szCs w:val="19"/>
              </w:rPr>
              <w:t xml:space="preserve">CoO</w:t>
            </w:r>
            <w:r>
              <w:rPr>
                <w:rFonts w:ascii="Arial" w:eastAsia="Times New Roman" w:hAnsi="Arial" w:cs="Arial"/>
                <w:sz w:val="19"/>
                <w:szCs w:val="19"/>
                <w:vertAlign w:val="subscript"/>
              </w:rPr>
              <w:t xml:space="preserve">3-δ</w:t>
            </w:r>
            <w:r>
              <w:rPr>
                <w:rFonts w:ascii="Arial" w:eastAsia="Times New Roman" w:hAnsi="Arial" w:cs="Arial"/>
                <w:sz w:val="19"/>
                <w:szCs w:val="19"/>
              </w:rPr>
              <w:t xml:space="preserve"> pilot series with noble-contact devices,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An experimental covalency scale for memristive La1-xSrxCoO3-δ</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