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YBa2Cu3O7-δ Chain-Oxygen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their resistance through field-driven redistribution of oxygen defects [1–3], with the oxygen-defect formation energy entering all quantitative models exponentially [3, 4]. Energy research has established the metal–oxygen covalency as the controlling descriptor of this energy [5–8] – but the experimental test of this link in memristive devices is missing. My project performs this test on YBa2Cu3O7-δ (YBCO): the one oxide outside the perovskite manganite/ferrite families in which all three evidence pillars of a clean descriptor study already coexist.</w:t>
      </w:r>
    </w:p>
    <w:p>
      <w:pPr>
        <w:spacing w:after="120"/>
      </w:pPr>
      <w:r>
        <w:t xml:space="preserve">(i) Covalency vs. stoichiometry is measured with unmatched precision: the site-specific, polarisation-resolved O-1s/Cu-2p XAS of YBCO resolves the doped-hole count separately for the CuO2 planes, the CuO chains and the apical oxygen as a function of oxygen content δ and cation doping [9, 10] – a level of spectroscopic resolution no perovskite series offers. The chain-oxygen content δ is continuously and reversibly tunable between 6.0 and 7.0 by annealing, making it an exceptionally fine stoichiometry axis. (ii) EV vs. site and stoichiometry is computed: DFT point-defect studies give site-resolved vacancy formation energies (chain ≈ 1.2 eV vs. plane ≈ 2.1 eV in YBa2Cu3O6.5) that depend on the oxygen content itself [14, 15]. (iii) Switching at noble interfaces is established and replicated: Au/YBCO/Au cells switch bipolar and non-volatile via interfacial oxygen-vacancy migration [11], with recent replications and mechanistic extensions from 80 to 300 K [12, 13]. The gap: all published devices are ceramic; no epitaxial, δ-controlled, statistically robust device series with simultaneous XAS covalency quantification exists. My central hypothesis: the switching figures of merit of Au/YBCO devices scale with the chain-hole covalency measured by site-resolved XAS – making YBCO the sharpest single-material test of the descriptor chain and, at the same time, the first extension of the planned “treasure map” beyond the perovskite structure family.</w:t>
      </w:r>
    </w:p>
    <w:p>
      <w:pPr>
        <w:spacing w:after="120"/>
      </w:pPr>
      <w:r>
        <w:t xml:space="preserve">Design constraints are addressed openly: below Tc ≈ 93 K superconductivity takes over (all device metrology therefore runs at ≥ 100 K and room temperature), and the ortho-ordering kinetics of the chain oxygen add a slow structural relaxation that is monitored by XRD. Both are charted boundaries, not confounders of the room-temperature descriptor study.</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[22] and as extracted compound by compound by the configuration-interaction analyses of Fujimori, Bocquet, Saitoh, Sarma and co-workers [23–26]. O-K pre-edge intensities serve as a relative, series-internal hybridisation measure only; their limits as an absolute covalency scale (core-hole effects, ligand-hole distribution, band effects) are treated explicitly [27], and the conflation of hybridisation with covalency that is common in the catalysis-descriptor literature is deliberately avoided – the descriptor scale of this project is calibrated against cluster-model analysis, not against pre-edge intensity alone.</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1–8, Stanford)</w:t>
      </w:r>
    </w:p>
    <w:p>
      <w:pPr>
        <w:spacing w:after="120"/>
      </w:pPr>
      <w:r>
        <w:t xml:space="preserve">PLD growth of epitaxial YBCO films on SrTiO3 and NdGaO3 in the Stanford/SLAC thin-film laboratories; δ-series (six oxygen contents between O6.4 and O7.0) set by controlled p(O2) annealing, verified by c-axis XRD and transport; structural validation (XRD/RSM, AFM). In parallel, first XAS campaign at SSRL: site-resolved O-K pre-edge quantification (plane/chain/apex following [9, 10]) and Cu-L2,3 valence analysis for every δ → experimental covalency scale of the series. Milestone M1 (month 8): validated δ-series with complete site-resolved descriptor set.</w:t>
      </w:r>
    </w:p>
    <w:p>
      <w:pPr>
        <w:spacing w:after="120"/>
      </w:pPr>
      <w:r>
        <w:rPr>
          <w:b/>
          <w:bCs/>
        </w:rPr>
        <w:t xml:space="preserve">WP2 – Devices and switching characterisation (months 6–12, Stanford)</w:t>
      </w:r>
    </w:p>
    <w:p>
      <w:pPr>
        <w:spacing w:after="120"/>
      </w:pPr>
      <w:r>
        <w:t xml:space="preserve">Au-active pads (replicating the proven noble-contact geometry [11–13]) and Pt pads as second inert flavour, processed photolithographically with ≥ 30 nominally identical cells per δ; quasistatic and pulsed characterisation at 100–300 K under the statistics protocol established in my doctorate (ON/OFF, forming requirement, kinetics, retention, endurance). Milestone M2 (month 12): switching figures of merit as a function of δ, in epitaxial cells, with robust statistics – the first non-ceramic Au/YBCO device series.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YBCO is deliberately map-strategic: it adds the cuprate charge-transfer bonding class and a second structure family to the descriptor map – the decisive generalisation test for its predictive claim.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N. Nücker et al., Site-specific and doping-dependent electronic structure of YBa2Cu3Ox probed by O 1s and Cu 2p x-ray-absorption spectroscopy. Physical Review B 51, 8529 (1995). [verify page range before submission]</w:t>
      </w:r>
    </w:p>
    <w:p>
      <w:pPr>
        <w:spacing w:after="120"/>
      </w:pPr>
      <w:r>
        <w:rPr>
          <w:sz w:val="18"/>
          <w:szCs w:val="18"/>
        </w:rPr>
        <w:t xml:space="preserve">[10] M. Merz et al., Site-specific X-Ray Absorption Spectroscopy of Y1-xCaxBa2Cu3O7-y: Overdoping and Role of Apical Oxygen for High-Temperature Superconductivity. Physical Review Letters 80, 5192 (1998). [verify exact title before submission]</w:t>
      </w:r>
    </w:p>
    <w:p>
      <w:pPr>
        <w:spacing w:after="120"/>
      </w:pPr>
      <w:r>
        <w:rPr>
          <w:sz w:val="18"/>
          <w:szCs w:val="18"/>
        </w:rPr>
        <w:t xml:space="preserve">[11] C. Acha, M. J. Rozenberg, Non-volatile resistive switching in the dielectric superconductor YBa2Cu3O7-δ. Journal of Physics: Condensed Matter 21, 045702 (2009).</w:t>
      </w:r>
    </w:p>
    <w:p>
      <w:pPr>
        <w:spacing w:after="120"/>
      </w:pPr>
      <w:r>
        <w:rPr>
          <w:sz w:val="18"/>
          <w:szCs w:val="18"/>
        </w:rPr>
        <w:t xml:space="preserve">[12] Switching dynamics of oxygen-vacancy memristors based on cuprate superconductors. Applied Physics Letters 127, 241602 (2025). [complete author list before submission]</w:t>
      </w:r>
    </w:p>
    <w:p>
      <w:pPr>
        <w:spacing w:after="120"/>
      </w:pPr>
      <w:r>
        <w:rPr>
          <w:sz w:val="18"/>
          <w:szCs w:val="18"/>
        </w:rPr>
        <w:t xml:space="preserve">[13] Bipolar resistive switching in Au/YBa2Cu3O7-δ devices between 80 and 300 K. ACS Applied Electronic Materials (2025), DOI 10.1021/acsaelm.5c02017. [complete citation before submission]</w:t>
      </w:r>
    </w:p>
    <w:p>
      <w:pPr>
        <w:spacing w:after="120"/>
      </w:pPr>
      <w:r>
        <w:rPr>
          <w:sz w:val="18"/>
          <w:szCs w:val="18"/>
        </w:rPr>
        <w:t xml:space="preserve">[14] First-principles study of point defects in YBa2Cu3O7. Journal of Physics Communications 4 (2020), DOI 10.1088/2399-6528/abc9a7. [complete citation before submission]</w:t>
      </w:r>
    </w:p>
    <w:p>
      <w:pPr>
        <w:spacing w:after="120"/>
      </w:pPr>
      <w:r>
        <w:rPr>
          <w:sz w:val="18"/>
          <w:szCs w:val="18"/>
        </w:rPr>
        <w:t xml:space="preserve">[15] Site-dependent oxygen-vacancy formation energies in YBa2Cu3O6.5. Journal of Applied Physics 140, 055104. [verify citation before submission]</w:t>
      </w:r>
    </w:p>
    <w:p>
      <w:pPr>
        <w:spacing w:after="120"/>
      </w:pPr>
      <w:r>
        <w:rPr>
          <w:sz w:val="18"/>
          <w:szCs w:val="18"/>
        </w:rPr>
        <w:t xml:space="preserve">[16]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[17] F. Frati, M. O. J. Y. Hunault, F. M. F. de Groot, Oxygen K-edge X-ray Absorption Spectra. Chemical Reviews 120, 4056–4110 (2020).</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Zaanen, G. A. Sawatzky, J. W. Allen, Band gaps and electronic structure of transition-metal compounds. Physical Review Letters 55, 418–421 (1985).</w:t>
      </w:r>
    </w:p>
    <w:p>
      <w:pPr>
        <w:spacing w:after="120"/>
      </w:pPr>
      <w:r>
        <w:rPr>
          <w:sz w:val="18"/>
          <w:szCs w:val="18"/>
        </w:rPr>
        <w:t xml:space="preserve">[23] A. Fujimori, F. Minami, Valence-band photoemission and optical absorption in nickel compounds. Physical Review B 30, 957–971 (1984).</w:t>
      </w:r>
    </w:p>
    <w:p>
      <w:pPr>
        <w:spacing w:after="120"/>
      </w:pPr>
      <w:r>
        <w:rPr>
          <w:sz w:val="18"/>
          <w:szCs w:val="18"/>
        </w:rPr>
        <w:t xml:space="preserve">[24]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[25] T. Saitoh, A. E. Bocquet, T. Mizokawa, A. Fujimori, Systematic variation of the electronic structure of 3d transition-metal compounds. Physical Review B 52, 7934–7938 (1995).</w:t>
      </w:r>
    </w:p>
    <w:p>
      <w:pPr>
        <w:spacing w:after="120"/>
      </w:pPr>
      <w:r>
        <w:rPr>
          <w:sz w:val="18"/>
          <w:szCs w:val="18"/>
        </w:rPr>
        <w:t xml:space="preserve">[26] S. Nimkar, D. D. Sarma, H. R. Krishnamurthy, S. Ramasesha, Mean-field results of the multiple-band extended Hubbard model for the square-planar CuO2 lattice. Physical Review B 48, 7355–7363 (1993).</w:t>
      </w:r>
    </w:p>
    <w:p>
      <w:pPr>
        <w:spacing w:after="120"/>
      </w:pPr>
      <w:r>
        <w:rPr>
          <w:sz w:val="18"/>
          <w:szCs w:val="18"/>
        </w:rPr>
        <w:t xml:space="preserve">[27] F. M. F. de Groot, X-ray absorption and dichroism of transition metals and their compounds. Journal of Electron Spectroscopy and Related Phenomena 67, 529–622 (1994).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2026-08-10T20:07:02.146Z</dcterms:created>
  <dcterms:modified xsi:type="dcterms:W3CDTF">2026-08-10T20:07:02.146Z</dcterms:modified>
</cp:coreProperties>
</file>

<file path=docProps/custom.xml><?xml version="1.0" encoding="utf-8"?>
<Properties xmlns="http://schemas.openxmlformats.org/officeDocument/2006/custom-properties" xmlns:vt="http://schemas.openxmlformats.org/officeDocument/2006/docPropsVTypes"/>
</file>