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xml:space="preserve">) back to the electronic structure – ultimately to the metal–oxygen covalency. The conceptual foundation is the Zaanen–Sawatzky–Allen scheme [21]: the charge-transfer energy Δ (O 2p → metal 3d) measures the position of the O-2p states relative to the metal d states </w:t>
      </w:r>
      <w:r>
        <w:rPr>
          <w:rFonts w:ascii="Arial" w:hAnsi="Arial" w:cs="Arial"/>
          <w:sz w:val="21"/>
          <w:szCs w:val="21"/>
        </w:rPr>
        <w:t xml:space="preserve">and is the microscopic measure of covalency. Its quantitative basis is the cluster-model/configuration-interaction analysis of core-level and valence spectra developed by Fujimori, Bocquet, Saitoh, Sarma and co-workers [91–94], which extracts Δ, U and transfer integrals compound by compound; the covalency scale of this programme is anchored in that framework – hybridisation and covalency are kept strictly distinct, a distinction frequently blurred in the catalysis-descriptor literature, which is used here as motivation and treated critically [95].</w:t>
      </w:r>
      <w:r>
        <w:rPr>
          <w:rFonts w:ascii="Arial" w:hAnsi="Arial" w:cs="Arial"/>
          <w:sz w:val="21"/>
          <w:szCs w:val="21"/>
        </w:rPr>
        <w:t xml:space="preserve">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 xml:space="preserve">XAS provides exactly the observables required for an experimental descriptor map. The pre-edge of the O-K edge (528–532 eV) arises from transitions into unoccupied, covalently hybridised O2p–TM3d states; </w:t>
      </w:r>
      <w:r>
        <w:rPr>
          <w:rFonts w:ascii="Arial" w:hAnsi="Arial" w:cs="Arial"/>
          <w:sz w:val="21"/>
          <w:szCs w:val="21"/>
        </w:rPr>
        <w:t xml:space="preserve">its integrated intensity is a widely used, series-internally comparable measure of metal–oxygen hybridisation [45, 47] – not by itself an absolute covalency scale [95]</w:t>
      </w:r>
      <w:r>
        <w:rPr>
          <w:rFonts w:ascii="Arial" w:hAnsi="Arial" w:cs="Arial"/>
          <w:sz w:val="21"/>
          <w:szCs w:val="21"/>
        </w:rPr>
        <w:t xml:space="preserve">.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by contrast, offers no noble-metal-interface demonstration (tip-based multilevel recording [68], reactive-contact devices [69, 88], in-situ TEM of vacancy-driven transitions [19]).</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w:t>
      </w:r>
      <w:r>
        <w:rPr>
          <w:rFonts w:ascii="Arial" w:hAnsi="Arial" w:cs="Arial"/>
          <w:sz w:val="21"/>
          <w:szCs w:val="21"/>
        </w:rPr>
        <w:t xml:space="preserve">A systematic evidence audit along the descriptor chain – covalency vs. stoichiometry (XAS), EV vs. covalency, and switching at a noble-metal interface – underpins the materials strategy of this proposal: every programme series enters with a demonstrated noble-contact switching base and a documented descriptor axis. The ferrites combine the canonical covalency XAS [46] and quantitative EV(x) [31, 86] with inert-stack switching at the Sr-rich end member [16, 17]; the manganite series Pr1-xCaxMnO3 combines the published composition benchmark [75] with noble Pt-contact switching [89]; the cobaltites combine the most explicit covalency→EV link of all families [39] with Au-active end-member switching [71, 25]; and stoichiometry-controlled switching at a Pt interface is demonstrated for the cation stoichiometry of SrTiO3 [78]. The same audit, extended as a family screening across the oxide classes, identifies YBa2Cu3O7-δ (Au/YBCO/Au established and replicated [90]) and Gd-doped CeO2 (Pt/Pt crossbars with a composition series [14]) as the only further systems fulfilling all three criteria – reserved as pre-screened blind-validation candidates of the map (WP5).</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t>
      </w:r>
      <w:r>
        <w:rPr>
          <w:rFonts w:ascii="Arial" w:hAnsi="Arial" w:cs="Arial"/>
          <w:sz w:val="21"/>
          <w:szCs w:val="21"/>
        </w:rPr>
        <w:t xml:space="preserve">Within the fellowship project “Covalency as an experimental descriptor of memristive switching beyond the perovskites: the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chain-oxygen series”, the applicant has grown epitaxial YBCO films with continuously tuned chain-oxygen content δ – the one oxide in which switching between two noble Au electrodes is already established and replicated – measured the site-resolved O-K/Cu-L covalency scale across the δ-series</w:t>
      </w:r>
      <w:r>
        <w:rPr>
          <w:rFonts w:ascii="Arial" w:hAnsi="Arial" w:cs="Arial"/>
          <w:sz w:val="21"/>
          <w:szCs w:val="21"/>
        </w:rPr>
        <w:t xml:space="preserve">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 xml:space="preserve">[E4] M. Buczek, [co-authors], W. C. Chueh, [working title: </w:t>
      </w:r>
      <w:r>
        <w:rPr>
          <w:rFonts w:ascii="Arial" w:hAnsi="Arial" w:cs="Arial"/>
          <w:sz w:val="18"/>
          <w:szCs w:val="18"/>
        </w:rPr>
        <w:t xml:space="preserve">A site-resolved covalency scale for noble-electrode YBa2Cu3O7-δ memristive devices</w:t>
      </w:r>
      <w:r>
        <w:rPr>
          <w:rFonts w:ascii="Arial" w:hAnsi="Arial" w:cs="Arial"/>
          <w:sz w:val="18"/>
          <w:szCs w:val="18"/>
        </w:rPr>
        <w:t xml:space="preserve">].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w:t>
      </w:r>
      <w:r>
        <w:rPr>
          <w:rFonts w:ascii="Arial" w:hAnsi="Arial" w:cs="Arial"/>
          <w:sz w:val="21"/>
          <w:szCs w:val="21"/>
        </w:rPr>
        <w:t xml:space="preserve">growth of a doping series, XAS covalency quantification, noble-electrode devices, correlation against switching data – has been established and de-risked on the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pilot series during the applicant’s Feodor Lynen project [E4] and is transferred here to the perovskite series</w:t>
      </w:r>
      <w:r>
        <w:rPr>
          <w:rFonts w:ascii="Arial" w:hAnsi="Arial" w:cs="Arial"/>
          <w:sz w:val="21"/>
          <w:szCs w:val="21"/>
        </w:rPr>
        <w:t xml:space="preserve">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336543102"/>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336543102"/>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pPr>
        <w:spacing w:after="60"/>
        <w:ind w:hanging="480"/>
        <w:divId w:val="336543102"/>
        <w:rPr>
          <w:rFonts w:ascii="Arial" w:hAnsi="Arial" w:cs="Arial"/>
          <w:sz w:val="18"/>
          <w:szCs w:val="18"/>
        </w:rPr>
      </w:pPr>
      <w:r>
        <w:rPr>
          <w:rFonts w:ascii="Arial" w:hAnsi="Arial" w:cs="Arial"/>
          <w:sz w:val="18"/>
          <w:szCs w:val="18"/>
        </w:rPr>
        <w:t xml:space="preserve">[91] A. Fujimori, F. Minami, Valence-band photoemission and optical absorption in nickel compounds. Physical Review B 30, 957–971 (1984).</w:t>
      </w:r>
    </w:p>
    <w:p>
      <w:pPr>
        <w:spacing w:after="60"/>
        <w:ind w:hanging="480"/>
        <w:divId w:val="336543102"/>
        <w:rPr>
          <w:rFonts w:ascii="Arial" w:hAnsi="Arial" w:cs="Arial"/>
          <w:sz w:val="18"/>
          <w:szCs w:val="18"/>
        </w:rPr>
      </w:pPr>
      <w:r>
        <w:rPr>
          <w:rFonts w:ascii="Arial" w:hAnsi="Arial" w:cs="Arial"/>
          <w:sz w:val="18"/>
          <w:szCs w:val="18"/>
        </w:rPr>
        <w:t xml:space="preserve">[92] A. E. Bocquet, T. Mizokawa, T. Saitoh, H. Namatame, A. Fujimori, Electronic structure of 3d-transition-metal compounds by analysis of the 2p core-level photoemission spectra. Physical Review B 46, 3771–3784 (1992).</w:t>
      </w:r>
    </w:p>
    <w:p>
      <w:pPr>
        <w:spacing w:after="60"/>
        <w:ind w:hanging="480"/>
        <w:divId w:val="336543102"/>
        <w:rPr>
          <w:rFonts w:ascii="Arial" w:hAnsi="Arial" w:cs="Arial"/>
          <w:sz w:val="18"/>
          <w:szCs w:val="18"/>
        </w:rPr>
      </w:pPr>
      <w:r>
        <w:rPr>
          <w:rFonts w:ascii="Arial" w:hAnsi="Arial" w:cs="Arial"/>
          <w:sz w:val="18"/>
          <w:szCs w:val="18"/>
        </w:rPr>
        <w:t xml:space="preserve">[93] T. Saitoh, A. E. Bocquet, T. Mizokawa, A. Fujimori, Systematic variation of the electronic structure of 3d transition-metal compounds. Physical Review B 52, 7934–7938 (1995).</w:t>
      </w:r>
    </w:p>
    <w:p>
      <w:pPr>
        <w:spacing w:after="60"/>
        <w:ind w:hanging="480"/>
        <w:divId w:val="336543102"/>
        <w:rPr>
          <w:rFonts w:ascii="Arial" w:hAnsi="Arial" w:cs="Arial"/>
          <w:sz w:val="18"/>
          <w:szCs w:val="18"/>
        </w:rPr>
      </w:pPr>
      <w:r>
        <w:rPr>
          <w:rFonts w:ascii="Arial" w:hAnsi="Arial" w:cs="Arial"/>
          <w:sz w:val="18"/>
          <w:szCs w:val="18"/>
        </w:rPr>
        <w:t xml:space="preserve">[94] S. Nimkar, D. D. Sarma, H. R. Krishnamurthy, S. Ramasesha, Mean-field results of the multiple-band extended Hubbard model for the square-planar CuO2 lattice. Physical Review B 48, 7355–7363 (1993).</w:t>
      </w:r>
    </w:p>
    <w:p>
      <w:pPr>
        <w:spacing w:after="60"/>
        <w:ind w:hanging="480"/>
        <w:divId w:val="336543102"/>
        <w:rPr>
          <w:rFonts w:ascii="Arial" w:hAnsi="Arial" w:cs="Arial"/>
          <w:sz w:val="18"/>
          <w:szCs w:val="18"/>
        </w:rPr>
      </w:pPr>
      <w:r>
        <w:rPr>
          <w:rFonts w:ascii="Arial" w:hAnsi="Arial" w:cs="Arial"/>
          <w:sz w:val="18"/>
          <w:szCs w:val="18"/>
        </w:rPr>
        <w:t xml:space="preserve">[95] F. M. F. de Groot, X-ray absorption and dichroism of transition metals and their compounds. Journal of Electron Spectroscopy and Related Phenomena 67, 529–622 (1994).</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