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DAAD PRIME – Postdoctoral Researchers International Mobility Experience</w:t>
      </w:r>
    </w:p>
    <w:p>
      <w:pPr>
        <w:pStyle w:val="Title"/>
      </w:pPr>
      <w:r>
        <w:t xml:space="preserve">Covalency as an Experimental Descriptor of Memristive Switching: the Pr1-xCaxMnO3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18 months (12 abroad + 6 reintegration)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18-month employment contract (TV-L E13) at a German university: 12 months abroad (Stanford University / SLAC) + 6-month reintegration phase in Germany [RWTH Aachen or FZ Jülich – commitment of the German host required]</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DAAD [verify current call, co-funding and conditions before submission]</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Doctorate completed before funding start; no nationality restriction</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call, submitted directly to the DAAD [insert current deadline]</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Position instead of stipend – full social security; the reintegration phase is part of the programme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series Pr1-xCaxMnO3 (PCMO), the best-documented perovskite memristor family.</w:t>
      </w:r>
    </w:p>
    <w:p>
      <w:pPr>
        <w:spacing w:after="120"/>
      </w:pPr>
      <w:r>
        <w:t xml:space="preserve">PCMO is the ideal test system for a clean covalency study, for three reasons. (i) The covalency axis is established: Ca2+ substitution dopes holes with substantial O-2p character into the mixed-valent Mn3+/Mn4+ system; the resulting increase of Mn3d–O2p hybridisation with x is measurable at the O-K edge as a relative, series-internal quantity and has recently been quantified for two compositions (x = 0.1/0.33) in the electrocatalysis context [9] – precisely the descriptor knowledge this project transfers to memristive switching, with the classic manganite X-ray absorption literature as calibration base [10, 11]. (ii) The switching axis is established: PCMO delivered the first perovskite ReRAM demonstrations [12, 13], its interface redox mechanism is spectroscopically proven [14], and the field is comprehensively mapped in my first-author Chemical Reviews article [E2] and the recent manganite device review [22]. Crucially, the only complete composition-resolved switching study in the entire perovskite ReRAM literature exists for PCMO: Asanuma et al. measured Ti/Pr1-xCaxMnO3 junctions across the full Ca range and found a pronounced maximum of the switching ratio at x ≈ 0.4, with switching disappearing for x &gt; 0.8 [16] – a striking result that has remained without a materials-descriptor explanation for over fifteen years – indeed, no quantitative EV(x) or EV–covalency relation has been published for PCMO at all. (iii) The mechanism is stable across the series: 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is the covalency optimum (“Goldilocks zone”) – and its position can be predicted from an experimentally measured XAS covalency descriptor. Beyond the correlation, the same series delivers the first stoichiometry optimisation of PCMO switching at a noble-metal interface – on a basis that is already demonstrated for a single composition [24]. This project adds the missing descriptor axis to the established switching axis; related composition series [15, 17, 23] serve as consistency checks.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quantitative CI anchors exist for the La-based manganite end members [32], but no Δ/U/(pdσ) set has been published for Pr1-xCaxMnO3 at any composition – the closest existing series spectroscopy [33] stops short of a cluster fit; establishing the PCMO parameter set is an explicit deliverable of this project.</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[34] on a large-area PLD system of the type I have already used for wafer-scale memristive heterostructures [E3]; combinatorial hardware of this class covers substrates up to four inches [35], and epitaxial perovskite composition spreads are established [36]. Spatially resolved soft XAS turns such a wafer into a continuous covalency map – on-the-fly L-edge mapping of a combinatorial spread with a 0.5 mm beam has recently been demonstrated [37], and beamlines built for automated high-throughput NEXAFS exist for exactly this duty cycle [38] – while automated prober mapping of device arrays along the same gradient track yields the corresponding switching map [39].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[34], cation transfer is fluence- and pO2-sensitive and therefore calibrated per position [40],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[41], chemical expansion (high-temperature XRD) or a reference of known stoichiometry; optical absorption provides a second, fully imageable δ read-out [43]. Thin-film defect chemistry of exactly this type is established for ceria films [41] and for (La,Sr)FeO3-δ films [42],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[38].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spacing w:after="120"/>
      </w:pPr>
      <w: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[27, 28] within the Zaanen-Sawatzky-Allen classification [26].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[11], its interpretation limits taken from the O K-edge methodology literature [31]. (D2) At six to ten support points per series, cluster-model analysis of the transition-metal 2p core-level satellites and of the L2,3 multiplets yields the charge-transfer energy, the Coulomb energy and the transfer integrals, and hence w_L itself [28], evaluated with charge-transfer multiplet and Wannier-based multiplet ligand-field codes [44, 45].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[38], so the calibration is not carried across separate beamtimes. The descriptor is finally held to a model comparison against formal valence, tolerance factor and the uncalibrated pre-edge area; if it does not outperform them, that is reported as the result.</w:t>
      </w:r>
    </w:p>
    <w:p>
      <w:pPr>
        <w:pStyle w:val="Heading1"/>
        <w:spacing w:after="120" w:before="240"/>
      </w:pPr>
      <w:r>
        <w:t xml:space="preserve">2  Programme fit and strategy</w:t>
      </w:r>
    </w:p>
    <w:p>
      <w:pPr>
        <w:spacing w:after="120"/>
      </w:pPr>
      <w:r>
        <w:t xml:space="preserve">PRIME funds the project as an 18-month employment position: a focused 12-month Stanford campaign delivers the descriptor scale and the switching statistics, and the built-in 6-month reintegration phase in Jülich/Aachen is used for correlation analysis, transfer of the XAS protocols to European beamlines and submission of the junior-group proposal (Emmy Noether/ERC) – the return into the German system is part of the programme itself. Fallback within the DAAD portfolio: the classic postdoctoral research grants (stipend-based, up to 12 months) [verify current programme lines].</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 acquired on PCMO itself, the very material of this proposal [E1–E3]. This is the strongest possible de-risking for the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PCMO series (months 1–8, Stanford)</w:t>
      </w:r>
    </w:p>
    <w:p>
      <w:pPr>
        <w:spacing w:after="120"/>
      </w:pPr>
      <w:r>
        <w:t xml:space="preserve">PLD growth of epitaxial Pr1-xCaxMnO3 films (x = 0.1; 0.2; 0.3; 0.4; 0.5; 0.65; 0.8 – dense sampling around the reported switching optimum at x ≈ 0.4 and up to the x &gt; 0.8 regime where switching reportedly vanishes [16]) on Nb:SrTiO3 substrates in the Stanford/SLAC thin-film laboratories, building directly on my PCMO growth expertise [E1–E3]; structural validation (XRD, AFM); cation and oxygen stoichiometry (XPS, RBS where required). In parallel, first XAS campaign at SSRL: O-K pre-edge quantification following the procedure of Suntivich et al. [11], benchmarked against the published PCMO covalence analysis [9], and Mn-L2,3 valence analysis for every composition → experimental covalency scale of the series. Milestone M1 (month 8): validated sample series with complete descriptor set. In parallel with the discrete samples, a gradient wafer of the same system is grown in continuous-compositional-spread mode [34, 35]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6–12, Stanford)</w:t>
      </w:r>
    </w:p>
    <w:p>
      <w:pPr>
        <w:spacing w:after="120"/>
      </w:pPr>
      <w:r>
        <w:t xml:space="preserve">Two device flavours per composition, processed photolithographically with ≥ 30 nominally identical cells each: (i) a benchmark geometry with reactive Ti top electrodes reproducing the Asanuma configuration [16] for direct quantitative comparability with the published switching-vs-x dataset, and (ii) a clean geometry with inert Pt top electrodes on Nb:SrTiO3, isolating the covalency effect from reactive-electrode interface chemistry [14]. This geometry is viable: PCMO switching between two noble Pt contacts – with oxygen-stoichiometry-dependent behaviour and spectroscopic proof of internal oxygen migration – has been demonstrated [24], whereas permeable Au-contacted devices show no hysteresis [25], defining both the opportunity and the statistical care required. Quasistatic and pulsed switching characterisation following the statistics protocol established in my doctorate (ON/OFF at defined read-out voltage, forming requirement, switching kinetics, temperature-accelerated retention, endurance). Milestone M2 (month 12): switching figures of merit as a function of x, in both geometries, with robust statistics. The second SSRL campaign (XAS on switched cells) is scheduled in months 10–12, before the return to Germany.</w:t>
      </w:r>
    </w:p>
    <w:p>
      <w:pPr>
        <w:spacing w:after="120"/>
      </w:pPr>
      <w:r>
        <w:rPr>
          <w:b/>
          <w:bCs/>
        </w:rPr>
        <w:t xml:space="preserve">WP3 – Correlation, transfer and group proposal (months 13–18, Germany)</w:t>
      </w:r>
    </w:p>
    <w:p>
      <w:pPr>
        <w:spacing w:after="120"/>
      </w:pPr>
      <w:r>
        <w:t xml:space="preserve">Reintegration phase at the German host [RWTH Aachen / FZ Jülich]: correlation analysis covalency (XAS) ↔ EV ↔ switching metrics on the complete dataset, including the reduction enthalpy per composition obtained from the gradient-wafer gas titration; transfer of the XAS protocols to European beamlines (BESSY II/PETRA III) including a first beamtime proposal; publication of the covalency-resolved device study and FAIR dataset release; submission of the junior-group proposal. Milestone M3 (month 18): submitted publication(s), public dataset, submitted group proposal.</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950"/>
        <w:gridCol w:w="950"/>
        <w:gridCol w:w="950"/>
        <w:gridCol w:w="950"/>
        <w:gridCol w:w="950"/>
        <w:gridCol w:w="950"/>
      </w:tblGrid>
      <w:tr>
        <w:tc>
          <w:tcPr>
            <w:tcW w:type="dxa" w:w="3372"/>
            <w:shd w:fill="EEF1F5" w:val="clear"/>
            <w:tcMar>
              <w:top w:type="dxa" w:w="50"/>
              <w:left w:type="dxa" w:w="90"/>
              <w:bottom w:type="dxa" w:w="50"/>
              <w:right w:type="dxa" w:w="90"/>
            </w:tcMar>
          </w:tcPr>
          <w:p>
            <w:r>
              <w:rPr>
                <w:b/>
                <w:bCs/>
                <w:sz w:val="19"/>
                <w:szCs w:val="19"/>
              </w:rPr>
              <w:t xml:space="preserve">Work package</w:t>
            </w:r>
          </w:p>
        </w:tc>
        <w:tc>
          <w:tcPr>
            <w:tcW w:type="dxa" w:w="950"/>
            <w:shd w:fill="EEF1F5" w:val="clear"/>
            <w:tcMar>
              <w:top w:type="dxa" w:w="50"/>
              <w:left w:type="dxa" w:w="90"/>
              <w:bottom w:type="dxa" w:w="50"/>
              <w:right w:type="dxa" w:w="90"/>
            </w:tcMar>
          </w:tcPr>
          <w:p>
            <w:r>
              <w:rPr>
                <w:b/>
                <w:bCs/>
                <w:sz w:val="19"/>
                <w:szCs w:val="19"/>
              </w:rPr>
              <w:t xml:space="preserve">Q1</w:t>
            </w:r>
          </w:p>
        </w:tc>
        <w:tc>
          <w:tcPr>
            <w:tcW w:type="dxa" w:w="950"/>
            <w:shd w:fill="EEF1F5" w:val="clear"/>
            <w:tcMar>
              <w:top w:type="dxa" w:w="50"/>
              <w:left w:type="dxa" w:w="90"/>
              <w:bottom w:type="dxa" w:w="50"/>
              <w:right w:type="dxa" w:w="90"/>
            </w:tcMar>
          </w:tcPr>
          <w:p>
            <w:r>
              <w:rPr>
                <w:b/>
                <w:bCs/>
                <w:sz w:val="19"/>
                <w:szCs w:val="19"/>
              </w:rPr>
              <w:t xml:space="preserve">Q2</w:t>
            </w:r>
          </w:p>
        </w:tc>
        <w:tc>
          <w:tcPr>
            <w:tcW w:type="dxa" w:w="950"/>
            <w:shd w:fill="EEF1F5" w:val="clear"/>
            <w:tcMar>
              <w:top w:type="dxa" w:w="50"/>
              <w:left w:type="dxa" w:w="90"/>
              <w:bottom w:type="dxa" w:w="50"/>
              <w:right w:type="dxa" w:w="90"/>
            </w:tcMar>
          </w:tcPr>
          <w:p>
            <w:r>
              <w:rPr>
                <w:b/>
                <w:bCs/>
                <w:sz w:val="19"/>
                <w:szCs w:val="19"/>
              </w:rPr>
              <w:t xml:space="preserve">Q3</w:t>
            </w:r>
          </w:p>
        </w:tc>
        <w:tc>
          <w:tcPr>
            <w:tcW w:type="dxa" w:w="950"/>
            <w:shd w:fill="EEF1F5" w:val="clear"/>
            <w:tcMar>
              <w:top w:type="dxa" w:w="50"/>
              <w:left w:type="dxa" w:w="90"/>
              <w:bottom w:type="dxa" w:w="50"/>
              <w:right w:type="dxa" w:w="90"/>
            </w:tcMar>
          </w:tcPr>
          <w:p>
            <w:r>
              <w:rPr>
                <w:b/>
                <w:bCs/>
                <w:sz w:val="19"/>
                <w:szCs w:val="19"/>
              </w:rPr>
              <w:t xml:space="preserve">Q4</w:t>
            </w:r>
          </w:p>
        </w:tc>
        <w:tc>
          <w:tcPr>
            <w:tcW w:type="dxa" w:w="950"/>
            <w:shd w:fill="EEF1F5" w:val="clear"/>
            <w:tcMar>
              <w:top w:type="dxa" w:w="50"/>
              <w:left w:type="dxa" w:w="90"/>
              <w:bottom w:type="dxa" w:w="50"/>
              <w:right w:type="dxa" w:w="90"/>
            </w:tcMar>
          </w:tcPr>
          <w:p>
            <w:r>
              <w:rPr>
                <w:b/>
                <w:bCs/>
                <w:sz w:val="19"/>
                <w:szCs w:val="19"/>
              </w:rPr>
              <w:t xml:space="preserve">Q5</w:t>
            </w:r>
          </w:p>
        </w:tc>
        <w:tc>
          <w:tcPr>
            <w:tcW w:type="dxa" w:w="950"/>
            <w:shd w:fill="EEF1F5" w:val="clear"/>
            <w:tcMar>
              <w:top w:type="dxa" w:w="50"/>
              <w:left w:type="dxa" w:w="90"/>
              <w:bottom w:type="dxa" w:w="50"/>
              <w:right w:type="dxa" w:w="90"/>
            </w:tcMar>
          </w:tcPr>
          <w:p>
            <w:r>
              <w:rPr>
                <w:b/>
                <w:bCs/>
                <w:sz w:val="19"/>
                <w:szCs w:val="19"/>
              </w:rPr>
              <w:t xml:space="preserve">Q6</w:t>
            </w:r>
          </w:p>
        </w:tc>
      </w:tr>
      <w:tr>
        <w:tc>
          <w:tcPr>
            <w:tcW w:type="dxa" w:w="3372"/>
            <w:tcMar>
              <w:top w:type="dxa" w:w="50"/>
              <w:left w:type="dxa" w:w="90"/>
              <w:bottom w:type="dxa" w:w="50"/>
              <w:right w:type="dxa" w:w="90"/>
            </w:tcMar>
          </w:tcPr>
          <w:p>
            <w:r>
              <w:rPr>
                <w:b w:val="false"/>
                <w:bCs w:val="false"/>
                <w:sz w:val="19"/>
                <w:szCs w:val="19"/>
              </w:rPr>
              <w:t xml:space="preserve">WP1 Synthesis + XAS descriptors</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WP2 Devices + switching statistics</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r>
      <w:tr>
        <w:tc>
          <w:tcPr>
            <w:tcW w:type="dxa" w:w="3372"/>
            <w:tcMar>
              <w:top w:type="dxa" w:w="50"/>
              <w:left w:type="dxa" w:w="90"/>
              <w:bottom w:type="dxa" w:w="50"/>
              <w:right w:type="dxa" w:w="90"/>
            </w:tcMar>
          </w:tcPr>
          <w:p>
            <w:r>
              <w:rPr>
                <w:b w:val="false"/>
                <w:bCs w:val="false"/>
                <w:sz w:val="19"/>
                <w:szCs w:val="19"/>
              </w:rPr>
              <w:t xml:space="preserve">WP3 Correlation + transfer + group proposal (DE)</w:t>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
            </w:r>
          </w:p>
        </w:tc>
        <w:tc>
          <w:tcPr>
            <w:tcW w:type="dxa" w:w="950"/>
            <w:tcMar>
              <w:top w:type="dxa" w:w="50"/>
              <w:left w:type="dxa" w:w="90"/>
              <w:bottom w:type="dxa" w:w="50"/>
              <w:right w:type="dxa" w:w="90"/>
            </w:tcMar>
          </w:tcPr>
          <w:p>
            <w:r>
              <w:rPr>
                <w:b w:val="false"/>
                <w:bCs w:val="false"/>
                <w:sz w:val="19"/>
                <w:szCs w:val="19"/>
              </w:rPr>
              <w:t xml:space="preserve">■</w:t>
            </w:r>
          </w:p>
        </w:tc>
        <w:tc>
          <w:tcPr>
            <w:tcW w:type="dxa" w:w="950"/>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(Emmy Noether proposal in preparation; ERC Starting Grant as an alternative). PRIME makes the return part of the funding itself: the reintegration phase at the German host is used to anchor the methodology in the Jülich/Aachen environment (JARA) and to submit the group proposal. The choice of PCMO is deliberate: the descriptor axis is added to an already-benchmarked switching axis, on the material of the applicant’s own doctorate – maximum de-risking for the descriptor question.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G. Lole, F. Ebrahimi, T. Meyer, D. Mierwaldt, V. Roddatis, J. Geppert, M. Risch, C. Jooss, Contrasting Pr1-xCaxMnO3 OER Catalysts with Different Valences and Covalences. The Journal of Physical Chemistry C 127, 177-186 (2023), DOI 10.1021/acs.jpcc.2c05622.</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S. Q. Liu, N. J. Wu, A. Ignatiev, Electric-pulse-induced reversible resistance change effect in magnetoresistive films. Applied Physics Letters 76, 2749–2751 (2000).</w:t>
      </w:r>
    </w:p>
    <w:p>
      <w:pPr>
        <w:spacing w:after="120"/>
      </w:pPr>
      <w:r>
        <w:rPr>
          <w:sz w:val="18"/>
          <w:szCs w:val="18"/>
        </w:rPr>
        <w:t xml:space="preserve">[13] A. Sawa, T. Fujii, M. Kawasaki, Y. Tokura, Hysteretic current–voltage characteristics and resistance switching at a rectifying Ti/Pr0.7Ca0.3MnO3 interface. Applied Physics Letters 85, 4073–4075 (2004).</w:t>
      </w:r>
    </w:p>
    <w:p>
      <w:pPr>
        <w:spacing w:after="120"/>
      </w:pPr>
      <w:r>
        <w:rPr>
          <w:sz w:val="18"/>
          <w:szCs w:val="18"/>
        </w:rPr>
        <w:t xml:space="preserve">[14]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[15] S. G. Choi, H.-S. Lee, H. Choi, S.-W. Chung, H.-H. Park, The effect of Sr concentration on resistive switching properties of La1-xSrxMnO3 films. Thin Solid Films 529, 352–355 (2013).</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A. Schulman, H. Huhtinen, P. Paturi, Manganite memristive devices: recent progress and emerging opportunities. Journal of Physics D: Applied Physics 57, 422001 (2024).</w:t>
      </w:r>
    </w:p>
    <w:p>
      <w:pPr>
        <w:spacing w:after="120"/>
      </w:pPr>
      <w:r>
        <w:rPr>
          <w:sz w:val="18"/>
          <w:szCs w:val="18"/>
        </w:rPr>
        <w:t xml:space="preserve">[23] A. Antola, J. Laaksonen, H. Huhtinen, I. Angervo, S. Granroth, A. Schulman, P. Laukkanen, P. Paturi, Area-Dependent Resistive Switching and Interfacial Dynamics in GCMO-Based Memristors. ACS Applied Electronic Materials 7, 4242–4250 (2025).</w:t>
      </w:r>
    </w:p>
    <w:p>
      <w:pPr>
        <w:spacing w:after="120"/>
      </w:pPr>
      <w:r>
        <w:rPr>
          <w:sz w:val="18"/>
          <w:szCs w:val="18"/>
        </w:rPr>
        <w:t xml:space="preserve">[24] T. Kramer, M. Scherff, D. Mierwaldt, J. Hoffmann, C. Jooss, Role of oxygen vacancies for resistive switching in noble metal sandwiched Pr0.67Ca0.33MnO3-δ. Applied Physics Letters 110, 243502 (2017).</w:t>
      </w:r>
    </w:p>
    <w:p>
      <w:pPr>
        <w:spacing w:after="120"/>
      </w:pPr>
      <w:r>
        <w:rPr>
          <w:sz w:val="18"/>
          <w:szCs w:val="18"/>
        </w:rPr>
        <w:t xml:space="preserve">[25] T. Nakamura, K. Homma, K. Tachibana, Thin film deposition of metal oxides in resistance switching devices: electrode material dependence of resistance switching in manganite films. Nanoscale Research Letters 8, 76 (2013).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[32] T. Saitoh, A. E. Bocquet, T. Mizokawa, H. Namatame, A. Fujimori, M. Abbate, Y. Takeda, M. Takano, Electronic structure of La1-xSrxMnO3 studied by photoemission and x-ray-absorption spectroscopy. Physical Review B 51, 13942–13951 (1995).</w:t>
      </w:r>
    </w:p>
    <w:p>
      <w:pPr>
        <w:spacing w:after="120"/>
      </w:pPr>
      <w:r>
        <w:rPr>
          <w:sz w:val="18"/>
          <w:szCs w:val="18"/>
        </w:rPr>
        <w:t xml:space="preserve">[33] K. Ebata, M. Hashimoto, K. Tanaka, A. Fujimori, Y. Tomioka, Y. Tokura, Chemical potential shift and spectral-weight transfer in Pr1-xCaxMnO3. Physical Review B 76, 174418 (2007). [verify exact title before submission]</w:t>
      </w:r>
    </w:p>
    <w:p>
      <w:pPr>
        <w:spacing w:after="120"/>
      </w:pPr>
      <w:r>
        <w:rPr>
          <w:sz w:val="18"/>
          <w:szCs w:val="18"/>
        </w:rPr>
        <w:t xml:space="preserve">[34]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[35]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[36] A. Venimadhav, K. A. Yates, M. G. Blamire, Scanning Raman Spectroscopy for Characterizing Compositionally Spread Films. Journal of Combinatorial Chemistry 7, 85–89 (2005).</w:t>
      </w:r>
    </w:p>
    <w:p>
      <w:pPr>
        <w:spacing w:after="120"/>
      </w:pPr>
      <w:r>
        <w:rPr>
          <w:sz w:val="18"/>
          <w:szCs w:val="18"/>
        </w:rPr>
        <w:t xml:space="preserve">[37]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[38]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[39]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[40]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[41]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[42]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[43]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[44] E. Stavitski, F. M. F. de Groot, The CTM4XAS program for EELS and XAS spectral shape analysis of transition metal L edges. Micron 41, 687-694 (2010).</w:t>
      </w:r>
    </w:p>
    <w:p>
      <w:pPr>
        <w:spacing w:after="120"/>
      </w:pPr>
      <w:r>
        <w:rPr>
          <w:sz w:val="18"/>
          <w:szCs w:val="18"/>
        </w:rPr>
        <w:t xml:space="preserve">[45] M. W. Haverkort, M. Zwierzycki, O. K. Andersen, Multiplet ligand-field theory using Wannier orbitals. Physical Review B 85, 165113 (2012).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German host commitment (employment + reintegration workplace) and host statement from Prof. Chueh required.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2026-08-10T22:56:21.856Z</dcterms:created>
  <dcterms:modified xsi:type="dcterms:W3CDTF">2026-08-10T22:56:21.856Z</dcterms:modified>
</cp:coreProperties>
</file>

<file path=docProps/custom.xml><?xml version="1.0" encoding="utf-8"?>
<Properties xmlns="http://schemas.openxmlformats.org/officeDocument/2006/custom-properties" xmlns:vt="http://schemas.openxmlformats.org/officeDocument/2006/docPropsVTypes"/>
</file>