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8A8796" w14:textId="77777777" w:rsidR="008E5A22" w:rsidRDefault="008E5A22">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5B803239" w14:textId="77777777" w:rsidR="008E5A22" w:rsidRDefault="008E5A22">
      <w:pPr>
        <w:pStyle w:val="NormalWeb"/>
        <w:rPr>
          <w:rFonts w:ascii="Arial" w:hAnsi="Arial" w:cs="Arial"/>
          <w:sz w:val="21"/>
          <w:szCs w:val="21"/>
        </w:rPr>
      </w:pPr>
      <w:r>
        <w:rPr>
          <w:rFonts w:ascii="Arial" w:hAnsi="Arial" w:cs="Arial"/>
          <w:sz w:val="21"/>
          <w:szCs w:val="21"/>
        </w:rPr>
        <w:t> </w:t>
      </w:r>
    </w:p>
    <w:p w14:paraId="60139F67" w14:textId="77777777" w:rsidR="008E5A22" w:rsidRDefault="008E5A22">
      <w:pPr>
        <w:pStyle w:val="NormalWeb"/>
        <w:rPr>
          <w:rFonts w:ascii="Arial" w:hAnsi="Arial" w:cs="Arial"/>
          <w:sz w:val="21"/>
          <w:szCs w:val="21"/>
        </w:rPr>
      </w:pPr>
      <w:r>
        <w:rPr>
          <w:rFonts w:ascii="Arial" w:hAnsi="Arial" w:cs="Arial"/>
          <w:sz w:val="21"/>
          <w:szCs w:val="21"/>
        </w:rPr>
        <w:t> </w:t>
      </w:r>
    </w:p>
    <w:p w14:paraId="6BD7256E" w14:textId="77777777" w:rsidR="008E5A22" w:rsidRDefault="008E5A22">
      <w:pPr>
        <w:pStyle w:val="NormalWeb"/>
        <w:rPr>
          <w:rFonts w:ascii="Arial" w:hAnsi="Arial" w:cs="Arial"/>
          <w:sz w:val="21"/>
          <w:szCs w:val="21"/>
        </w:rPr>
      </w:pPr>
      <w:r>
        <w:rPr>
          <w:rFonts w:ascii="Arial" w:hAnsi="Arial" w:cs="Arial"/>
          <w:sz w:val="21"/>
          <w:szCs w:val="21"/>
        </w:rPr>
        <w:t> </w:t>
      </w:r>
    </w:p>
    <w:p w14:paraId="37C3E632" w14:textId="77777777" w:rsidR="008E5A22" w:rsidRDefault="008E5A22">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7162E21B" w14:textId="77777777" w:rsidR="008E5A22" w:rsidRDefault="008E5A22">
      <w:pPr>
        <w:pStyle w:val="NormalWeb"/>
        <w:rPr>
          <w:rFonts w:ascii="Arial" w:hAnsi="Arial" w:cs="Arial"/>
          <w:sz w:val="21"/>
          <w:szCs w:val="21"/>
        </w:rPr>
      </w:pPr>
      <w:r>
        <w:rPr>
          <w:rFonts w:ascii="Arial" w:hAnsi="Arial" w:cs="Arial"/>
          <w:sz w:val="21"/>
          <w:szCs w:val="21"/>
        </w:rPr>
        <w:t> </w:t>
      </w:r>
    </w:p>
    <w:p w14:paraId="79890CC2" w14:textId="77777777" w:rsidR="008E5A22" w:rsidRDefault="008E5A22">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Pr</w:t>
      </w:r>
      <w:r>
        <w:rPr>
          <w:rFonts w:ascii="Arial" w:hAnsi="Arial" w:cs="Arial"/>
          <w:b/>
          <w:bCs/>
          <w:sz w:val="26"/>
          <w:szCs w:val="26"/>
          <w:vertAlign w:val="subscript"/>
        </w:rPr>
        <w:t>1-x</w:t>
      </w:r>
      <w:r>
        <w:rPr>
          <w:rFonts w:ascii="Arial" w:hAnsi="Arial" w:cs="Arial"/>
          <w:b/>
          <w:bCs/>
          <w:sz w:val="26"/>
          <w:szCs w:val="26"/>
        </w:rPr>
        <w:t>Ca</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w:t>
      </w:r>
      <w:r>
        <w:rPr>
          <w:rFonts w:ascii="Arial" w:hAnsi="Arial" w:cs="Arial"/>
          <w:b/>
          <w:bCs/>
          <w:sz w:val="26"/>
          <w:szCs w:val="26"/>
        </w:rPr>
        <w:t xml:space="preserve"> Model Series</w:t>
      </w:r>
    </w:p>
    <w:p w14:paraId="19BB5E7F" w14:textId="77777777" w:rsidR="008E5A22" w:rsidRDefault="008E5A22">
      <w:pPr>
        <w:pStyle w:val="NormalWeb"/>
        <w:rPr>
          <w:rFonts w:ascii="Arial" w:hAnsi="Arial" w:cs="Arial"/>
          <w:sz w:val="21"/>
          <w:szCs w:val="21"/>
        </w:rPr>
      </w:pPr>
      <w:r>
        <w:rPr>
          <w:rFonts w:ascii="Arial" w:hAnsi="Arial" w:cs="Arial"/>
          <w:sz w:val="21"/>
          <w:szCs w:val="21"/>
        </w:rPr>
        <w:t> </w:t>
      </w:r>
    </w:p>
    <w:p w14:paraId="4424F6E4" w14:textId="77777777" w:rsidR="008E5A22" w:rsidRDefault="008E5A2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C50C01" w14:paraId="74384540"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2070FA"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9B131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C50C01" w14:paraId="2855AC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597AB"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5858D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Dr. William C. Chueh, Department of Materials Science and Engineering, Stanford University, USA – Friedrich Wilhelm Bessel Research Award winner of the AvH Foundation (2021), member of the Humboldt Network</w:t>
            </w:r>
          </w:p>
        </w:tc>
      </w:tr>
      <w:tr w:rsidR="00C50C01" w14:paraId="050C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C06255"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895EF2"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C50C01" w14:paraId="13962F9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DBE2"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803C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C50C01" w14:paraId="2C01BA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AC70A0"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969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C50C01" w14:paraId="422873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B8167" w14:textId="77777777" w:rsidR="008E5A22" w:rsidRDefault="008E5A22">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B02FD9"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4D442B3" w14:textId="77777777" w:rsidR="008E5A22" w:rsidRDefault="008E5A22">
      <w:pPr>
        <w:pStyle w:val="NormalWeb"/>
        <w:rPr>
          <w:rFonts w:ascii="Arial" w:hAnsi="Arial" w:cs="Arial"/>
          <w:sz w:val="21"/>
          <w:szCs w:val="21"/>
        </w:rPr>
      </w:pPr>
      <w:r>
        <w:rPr>
          <w:rFonts w:ascii="Arial" w:hAnsi="Arial" w:cs="Arial"/>
          <w:sz w:val="21"/>
          <w:szCs w:val="21"/>
        </w:rPr>
        <w:t> </w:t>
      </w:r>
    </w:p>
    <w:p w14:paraId="7E0FA4D7" w14:textId="77777777" w:rsidR="008E5A22" w:rsidRDefault="008E5A22">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3933C7D0" w14:textId="77777777" w:rsidR="008E5A22" w:rsidRDefault="008E5A22">
      <w:pPr>
        <w:pStyle w:val="Heading1"/>
        <w:pageBreakBefore/>
        <w:rPr>
          <w:rFonts w:ascii="Arial" w:eastAsia="Times New Roman" w:hAnsi="Arial" w:cs="Arial"/>
        </w:rPr>
      </w:pPr>
      <w:r>
        <w:rPr>
          <w:rFonts w:ascii="Arial" w:eastAsia="Times New Roman" w:hAnsi="Arial" w:cs="Arial"/>
        </w:rPr>
        <w:lastRenderedPageBreak/>
        <w:t>Research Proposal (Exposé)</w:t>
      </w:r>
    </w:p>
    <w:p w14:paraId="12854C35" w14:textId="77777777" w:rsidR="008E5A22" w:rsidRDefault="008E5A22">
      <w:pPr>
        <w:pStyle w:val="Heading2"/>
        <w:rPr>
          <w:rFonts w:ascii="Arial" w:eastAsia="Times New Roman" w:hAnsi="Arial" w:cs="Arial"/>
        </w:rPr>
      </w:pPr>
      <w:r>
        <w:rPr>
          <w:rFonts w:ascii="Arial" w:eastAsia="Times New Roman" w:hAnsi="Arial" w:cs="Arial"/>
        </w:rPr>
        <w:t>1  Research question and scientific significance</w:t>
      </w:r>
    </w:p>
    <w:p w14:paraId="1EC95856" w14:textId="77777777" w:rsidR="008E5A22" w:rsidRDefault="008E5A22">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series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best-documented perovskite memristor family.</w:t>
      </w:r>
    </w:p>
    <w:p w14:paraId="2D4E8EDF" w14:textId="77777777" w:rsidR="008E5A22" w:rsidRDefault="008E5A22">
      <w:pPr>
        <w:pStyle w:val="NormalWeb"/>
        <w:rPr>
          <w:rFonts w:ascii="Arial" w:hAnsi="Arial" w:cs="Arial"/>
          <w:sz w:val="21"/>
          <w:szCs w:val="21"/>
        </w:rPr>
      </w:pPr>
      <w:r>
        <w:rPr>
          <w:rFonts w:ascii="Arial" w:hAnsi="Arial" w:cs="Arial"/>
          <w:sz w:val="21"/>
          <w:szCs w:val="21"/>
        </w:rPr>
        <w:t xml:space="preserve">PCMO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 axis is established:</w:t>
      </w:r>
      <w:r>
        <w:rPr>
          <w:rFonts w:ascii="Arial" w:hAnsi="Arial" w:cs="Arial"/>
          <w:sz w:val="21"/>
          <w:szCs w:val="21"/>
        </w:rPr>
        <w:t xml:space="preserve"> Ca</w:t>
      </w:r>
      <w:r>
        <w:rPr>
          <w:rFonts w:ascii="Arial" w:hAnsi="Arial" w:cs="Arial"/>
          <w:sz w:val="21"/>
          <w:szCs w:val="21"/>
          <w:vertAlign w:val="superscript"/>
        </w:rPr>
        <w:t>2+</w:t>
      </w:r>
      <w:r>
        <w:rPr>
          <w:rFonts w:ascii="Arial" w:hAnsi="Arial" w:cs="Arial"/>
          <w:sz w:val="21"/>
          <w:szCs w:val="21"/>
        </w:rPr>
        <w:t xml:space="preserve"> substitution dopes holes with substantial O-2p character into the mixed-valent Mn</w:t>
      </w:r>
      <w:r>
        <w:rPr>
          <w:rFonts w:ascii="Arial" w:hAnsi="Arial" w:cs="Arial"/>
          <w:sz w:val="21"/>
          <w:szCs w:val="21"/>
          <w:vertAlign w:val="superscript"/>
        </w:rPr>
        <w:t>3+</w:t>
      </w:r>
      <w:r>
        <w:rPr>
          <w:rFonts w:ascii="Arial" w:hAnsi="Arial" w:cs="Arial"/>
          <w:sz w:val="21"/>
          <w:szCs w:val="21"/>
        </w:rPr>
        <w:t>/Mn</w:t>
      </w:r>
      <w:r>
        <w:rPr>
          <w:rFonts w:ascii="Arial" w:hAnsi="Arial" w:cs="Arial"/>
          <w:sz w:val="21"/>
          <w:szCs w:val="21"/>
          <w:vertAlign w:val="superscript"/>
        </w:rPr>
        <w:t>4+</w:t>
      </w:r>
      <w:r>
        <w:rPr>
          <w:rFonts w:ascii="Arial" w:hAnsi="Arial" w:cs="Arial"/>
          <w:sz w:val="21"/>
          <w:szCs w:val="21"/>
        </w:rPr>
        <w:t xml:space="preserve"> system; the resulting increase of Mn3d–O2p hybridisation with x </w:t>
      </w:r>
      <w:r>
        <w:rPr>
          <w:rFonts w:ascii="Arial" w:hAnsi="Arial" w:cs="Arial"/>
          <w:sz w:val="21"/>
          <w:szCs w:val="21"/>
        </w:rPr>
        <w:t xml:space="preserve">is measurable at the O-K edge as a relative, series-internal quantity</w:t>
      </w:r>
      <w:r>
        <w:rPr>
          <w:rFonts w:ascii="Arial" w:hAnsi="Arial" w:cs="Arial"/>
          <w:sz w:val="21"/>
          <w:szCs w:val="21"/>
        </w:rPr>
        <w:t xml:space="preserve"> and has recently been quantified for two compositions (x = 0.1/0.33) in the electrocatalysis context [9] – precisely the descriptor knowledge this project transfers to memristive switching, with the classic manganite X-ray absorption literature as calibration base [10, 11]. </w:t>
      </w:r>
      <w:r>
        <w:rPr>
          <w:rFonts w:ascii="Arial" w:hAnsi="Arial" w:cs="Arial"/>
          <w:b/>
          <w:bCs/>
          <w:sz w:val="21"/>
          <w:szCs w:val="21"/>
        </w:rPr>
        <w:t>(ii) The switching axis is established:</w:t>
      </w:r>
      <w:r>
        <w:rPr>
          <w:rFonts w:ascii="Arial" w:hAnsi="Arial" w:cs="Arial"/>
          <w:sz w:val="21"/>
          <w:szCs w:val="21"/>
        </w:rPr>
        <w:t xml:space="preserve"> PCMO delivered the first perovskite ReRAM demonstrations [12, 13], its interface redox mechanism is spectroscopically proven [14], and the field is comprehensively mapped in my first-author Chemical Reviews article [E2] and the recent manganite device review [22]. Crucially, the </w:t>
      </w:r>
      <w:r>
        <w:rPr>
          <w:rFonts w:ascii="Arial" w:hAnsi="Arial" w:cs="Arial"/>
          <w:i/>
          <w:iCs/>
          <w:sz w:val="21"/>
          <w:szCs w:val="21"/>
        </w:rPr>
        <w:t>only complete composition-resolved switching study in the entire perovskite ReRAM literature</w:t>
      </w:r>
      <w:r>
        <w:rPr>
          <w:rFonts w:ascii="Arial" w:hAnsi="Arial" w:cs="Arial"/>
          <w:sz w:val="21"/>
          <w:szCs w:val="21"/>
        </w:rPr>
        <w:t xml:space="preserve"> exists for PCMO: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Ca range and found a pronounced maximum of the switching ratio at x ≈ 0.4, with switching disappearing for x &gt; 0.8 [16] – a striking result that has remained without a materials-descriptor explanation for over fifteen years – indeed, no quantitative EV(x) or EV–covalency relation has been published for PCMO at all. </w:t>
      </w:r>
      <w:r>
        <w:rPr>
          <w:rFonts w:ascii="Arial" w:hAnsi="Arial" w:cs="Arial"/>
          <w:b/>
          <w:bCs/>
          <w:sz w:val="21"/>
          <w:szCs w:val="21"/>
        </w:rPr>
        <w:t>(iii) The mechanism is stable across the series:</w:t>
      </w:r>
      <w:r>
        <w:rPr>
          <w:rFonts w:ascii="Arial" w:hAnsi="Arial" w:cs="Arial"/>
          <w:sz w:val="21"/>
          <w:szCs w:val="21"/>
        </w:rPr>
        <w:t xml:space="preserve"> PCMO remains a perovskite and stays insulating over the entire doping range (narrow bandwidth) – no topotactic brownmillerite transition and no metal–insulator transition interferes, in deliberate contrast to the ferrite and cobaltite families, where the switching mechanism itself changes with doping. Covalency thus remains the truly isolated variable. My central hypothesis: the Asanuma optimum </w:t>
      </w:r>
      <w:r>
        <w:rPr>
          <w:rFonts w:ascii="Arial" w:hAnsi="Arial" w:cs="Arial"/>
          <w:i/>
          <w:iCs/>
          <w:sz w:val="21"/>
          <w:szCs w:val="21"/>
        </w:rPr>
        <w:t>is</w:t>
      </w:r>
      <w:r>
        <w:rPr>
          <w:rFonts w:ascii="Arial" w:hAnsi="Arial" w:cs="Arial"/>
          <w:sz w:val="21"/>
          <w:szCs w:val="21"/>
        </w:rPr>
        <w:t xml:space="preserve"> the covalency optimum (“Goldilocks zone”) – and its position can be predicted from an experimentally measured XAS covalency descriptor. Beyond the correlation, the same series delivers the first stoichiometry optimisation of PCMO switching at a noble-metal interface – on a basis that is already demonstrated for a single composition [24]. This project adds the missing descriptor axis to the established switching axis; related composition series [15, 17, 23] serve as consistency checks.</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[26] and as extracted compound by compound by the configuration-interaction analyses of Fujimori, Bocquet, Saitoh, Sarma and co-workers [27–30]. O-K pre-edge intensities serve as a relative, series-internal hybridisation measure only; their limits as an absolute covalency scale (core-hole effects, ligand-hole distribution, band effects) are treated explicitly [31],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quantitative CI anchors exist for the La-based manganite end members [32], but no Δ/U/(pdσ) set has been published for Pr1-xCaxMnO3 at any composition – the closest existing series spectroscopy [33] stops short of a cluster fit; establishing the PCMO parameter set is an explicit deliverable of this project.</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[34] on a large-area PLD system of the type I have already used for wafer-scale memristive heterostructures [E3]; combinatorial hardware of this class covers substrates up to four inches [35], and epitaxial perovskite composition spreads are established [36]. Spatially resolved soft XAS turns such a wafer into a continuous covalency map – on-the-fly L-edge mapping of a combinatorial spread with a 0.5 mm beam has recently been demonstrated [37], and beamlines built for automated high-throughput NEXAFS exist for exactly this duty cycle [38] – while automated prober mapping of device arrays along the same gradient track yields the corresponding switching map [39].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[34], cation transfer is fluence- and pO2-sensitive and therefore calibrated per position [40],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[41], chemical expansion (high-temperature XRD) or a reference of known stoichiometry; optical absorption provides a second, fully imageable δ read-out [43]. Thin-film defect chemistry of exactly this type is established for ceria films [41] and for (La,Sr)FeO3-δ films [42],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[38].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pPr>
        <w:pStyle w:val="NormalWeb"/>
        <w:rPr>
          <w:rFonts w:ascii="Arial" w:hAnsi="Arial" w:cs="Arial"/>
          <w:sz w:val="21"/>
          <w:szCs w:val="21"/>
        </w:rPr>
      </w:pPr>
      <w:r>
        <w:rPr>
          <w:rFonts w:ascii="Arial" w:hAnsi="Arial" w:cs="Arial"/>
          <w:sz w:val="21"/>
          <w:szCs w:val="21"/>
        </w:rPr>
        <w:t xml:space="preserve">Descriptor construction (specified 08/2026): covalency is quantified as the ligand-hole weight w_L of the configuration-interaction ground state - the deviation of the d occupation from the formal valence, set by the charge-transfer energy, the d-d Coulomb energy and the transfer integrals [27, 28] within the Zaanen-Sawatzky-Allen classification [26]. Because O K pre-edge intensity probes unoccupied states whereas w_L is a ground-state quantity, the descriptor is built in three steps. (D1) The pre-edge area normalised per d hole - with the hole count taken from the transition-metal L2,3 fit at the same position rather than from the nominal stoichiometry - is the fast, mappable measure [11], its interpretation limits taken from the O K-edge methodology literature [31]. (D2) At six to ten support points per series, cluster-model analysis of the transition-metal 2p core-level satellites and of the L2,3 multiplets yields the charge-transfer energy, the Coulomb energy and the transfer integrals, and hence w_L itself [28], evaluated with charge-transfer multiplet and Wannier-based multiplet ligand-field codes [44, 45]. (D3) The regression between D1 and D2 converts the fast measure into a cluster-model-anchored covalency across all positions, with propagated uncertainty. Only this calibrated quantity enters the correlation with the vacancy formation energy; a pre-edge intensity on its own is treated as a series-internal relative measure and nothing more. Ambient-pressure endstations that combine core-level photoemission with NEXAFS allow D1 and D2 to be recorded at the same sample position [38], so the calibration is not carried across separate beamtimes. The descriptor is finally held to a model comparison against formal valence, tolerance factor and the uncalibrated pre-edge area; if it does not outperform them, that is reported as the result.</w:t>
      </w:r>
    </w:p>
    <w:p w14:paraId="39CBBA42" w14:textId="77777777" w:rsidR="008E5A22" w:rsidRDefault="008E5A22">
      <w:pPr>
        <w:pStyle w:val="Heading2"/>
        <w:rPr>
          <w:rFonts w:ascii="Arial" w:eastAsia="Times New Roman" w:hAnsi="Arial" w:cs="Arial"/>
        </w:rPr>
      </w:pPr>
      <w:r>
        <w:rPr>
          <w:rFonts w:ascii="Arial" w:eastAsia="Times New Roman" w:hAnsi="Arial" w:cs="Arial"/>
        </w:rPr>
        <w:t>2  Why the Chueh group at Stanford is the ideal place</w:t>
      </w:r>
    </w:p>
    <w:p w14:paraId="57B5471F" w14:textId="77777777" w:rsidR="008E5A22" w:rsidRDefault="008E5A22">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 acquired on PCMO itself, the very material of this proposal [E1–E3]. This is the strongest possible de-risking for a 24-month project: growth windows, device processing and measurement protocols for PCMO are my established expertise, so the fellowship time is spent on the genuinely new element – the spectroscopic descriptor axis.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0766599" w14:textId="77777777" w:rsidR="008E5A22" w:rsidRDefault="008E5A22">
      <w:pPr>
        <w:pStyle w:val="Heading2"/>
        <w:rPr>
          <w:rFonts w:ascii="Arial" w:eastAsia="Times New Roman" w:hAnsi="Arial" w:cs="Arial"/>
        </w:rPr>
      </w:pPr>
      <w:r>
        <w:rPr>
          <w:rFonts w:ascii="Arial" w:eastAsia="Times New Roman" w:hAnsi="Arial" w:cs="Arial"/>
        </w:rPr>
        <w:t>3  Work programme (24 months)</w:t>
      </w:r>
    </w:p>
    <w:p w14:paraId="392489A8" w14:textId="77777777" w:rsidR="008E5A22" w:rsidRDefault="008E5A22">
      <w:pPr>
        <w:pStyle w:val="Heading3"/>
        <w:rPr>
          <w:rFonts w:ascii="Arial" w:eastAsia="Times New Roman" w:hAnsi="Arial" w:cs="Arial"/>
        </w:rPr>
      </w:pPr>
      <w:r>
        <w:rPr>
          <w:rFonts w:ascii="Arial" w:eastAsia="Times New Roman" w:hAnsi="Arial" w:cs="Arial"/>
        </w:rPr>
        <w:t>WP1 – Synthesis and descriptor measurement of the PCMO series (months 1–10)</w:t>
      </w:r>
    </w:p>
    <w:p w14:paraId="49C1BB29" w14:textId="77777777" w:rsidR="008E5A22" w:rsidRDefault="008E5A22">
      <w:pPr>
        <w:pStyle w:val="NormalWeb"/>
        <w:rPr>
          <w:rFonts w:ascii="Arial" w:hAnsi="Arial" w:cs="Arial"/>
          <w:sz w:val="21"/>
          <w:szCs w:val="21"/>
        </w:rPr>
      </w:pPr>
      <w:r>
        <w:rPr>
          <w:rFonts w:ascii="Arial" w:hAnsi="Arial" w:cs="Arial"/>
          <w:sz w:val="21"/>
          <w:szCs w:val="21"/>
        </w:rPr>
        <w:t>PLD growth of epitaxial 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films (x = 0.1; 0.2; 0.3; 0.4; 0.5; 0.65; 0.8 – dense sampling around the reported switching optimum at x ≈ 0.4 and up to the x &gt; 0.8 regime where switching reportedly vanishes [16])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building directly on my PCMO growth expertise [E1–E3]; structural validation (XRD, AFM); cation and oxygen stoichiometry (XPS, RBS where required). In parallel, first XAS campaign at SSRL: O-K pre-edge quantification following the procedure of Suntivich et al. [11], benchmarked against the published PCMO covalence analysis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[34, 35] and calibrated position by position (XRF/WDS composition map, XRR thickness, XRD structural quality); the discrete series remains the backbone of the analysis, the gradient wafer is the throughput accelerator and the carrier of the defect-chemical titration in WP3.</w:t>
      </w:r>
    </w:p>
    <w:p w14:paraId="2835F886" w14:textId="77777777" w:rsidR="008E5A22" w:rsidRDefault="008E5A22">
      <w:pPr>
        <w:pStyle w:val="Heading3"/>
        <w:rPr>
          <w:rFonts w:ascii="Arial" w:eastAsia="Times New Roman" w:hAnsi="Arial" w:cs="Arial"/>
        </w:rPr>
      </w:pPr>
      <w:r>
        <w:rPr>
          <w:rFonts w:ascii="Arial" w:eastAsia="Times New Roman" w:hAnsi="Arial" w:cs="Arial"/>
        </w:rPr>
        <w:t>WP2 – Devices and switching characterisation (months 8–18)</w:t>
      </w:r>
    </w:p>
    <w:p w14:paraId="398C0459" w14:textId="77777777" w:rsidR="008E5A22" w:rsidRDefault="008E5A22">
      <w:pPr>
        <w:pStyle w:val="NormalWeb"/>
        <w:rPr>
          <w:rFonts w:ascii="Arial" w:hAnsi="Arial" w:cs="Arial"/>
          <w:sz w:val="21"/>
          <w:szCs w:val="21"/>
        </w:rPr>
      </w:pPr>
      <w:r>
        <w:rPr>
          <w:rFonts w:ascii="Arial" w:hAnsi="Arial" w:cs="Arial"/>
          <w:sz w:val="21"/>
          <w:szCs w:val="21"/>
        </w:rPr>
        <w:t xml:space="preserve">Two device flavours per composition, processed photolithographically with ≥ 30 nominally identical cells each: (i) a </w:t>
      </w:r>
      <w:r>
        <w:rPr>
          <w:rFonts w:ascii="Arial" w:hAnsi="Arial" w:cs="Arial"/>
          <w:i/>
          <w:iCs/>
          <w:sz w:val="21"/>
          <w:szCs w:val="21"/>
        </w:rPr>
        <w:t>benchmark geometry</w:t>
      </w:r>
      <w:r>
        <w:rPr>
          <w:rFonts w:ascii="Arial" w:hAnsi="Arial" w:cs="Arial"/>
          <w:sz w:val="21"/>
          <w:szCs w:val="21"/>
        </w:rPr>
        <w:t xml:space="preserve"> with reactive Ti top electrodes reproducing the Asanuma configuration [16] for direct quantitative comparability with the published switching-vs-x dataset, and (ii) a </w:t>
      </w:r>
      <w:r>
        <w:rPr>
          <w:rFonts w:ascii="Arial" w:hAnsi="Arial" w:cs="Arial"/>
          <w:i/>
          <w:iCs/>
          <w:sz w:val="21"/>
          <w:szCs w:val="21"/>
        </w:rPr>
        <w:t>clean geometry</w:t>
      </w:r>
      <w:r>
        <w:rPr>
          <w:rFonts w:ascii="Arial" w:hAnsi="Arial" w:cs="Arial"/>
          <w:sz w:val="21"/>
          <w:szCs w:val="21"/>
        </w:rPr>
        <w:t xml:space="preserve"> with inert Pt top electrodes on Nb:SrTiO</w:t>
      </w:r>
      <w:r>
        <w:rPr>
          <w:rFonts w:ascii="Arial" w:hAnsi="Arial" w:cs="Arial"/>
          <w:sz w:val="21"/>
          <w:szCs w:val="21"/>
          <w:vertAlign w:val="subscript"/>
        </w:rPr>
        <w:t>3</w:t>
      </w:r>
      <w:r>
        <w:rPr>
          <w:rFonts w:ascii="Arial" w:hAnsi="Arial" w:cs="Arial"/>
          <w:sz w:val="21"/>
          <w:szCs w:val="21"/>
        </w:rPr>
        <w:t xml:space="preserve">, isolating the covalency effect from reactive-electrode interface chemistry [14]. This geometry is viable: PCMO switching between two noble Pt contacts – with oxygen-stoichiometry-dependent behaviour and spectroscopic proof of internal oxygen migration – has been demonstrated [24], whereas permeable Au-contacted devices show no hysteresis [25], defining both the opportunity and the statistical care required.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in both geometries, with robust statistics.</w:t>
      </w:r>
    </w:p>
    <w:p w14:paraId="4B8F91BD" w14:textId="77777777" w:rsidR="008E5A22" w:rsidRDefault="008E5A22">
      <w:pPr>
        <w:pStyle w:val="Heading3"/>
        <w:rPr>
          <w:rFonts w:ascii="Arial" w:eastAsia="Times New Roman" w:hAnsi="Arial" w:cs="Arial"/>
        </w:rPr>
      </w:pPr>
      <w:r>
        <w:rPr>
          <w:rFonts w:ascii="Arial" w:eastAsia="Times New Roman" w:hAnsi="Arial" w:cs="Arial"/>
        </w:rPr>
        <w:t>WP3 – Correlation, operando validation and publication (months 16–24)</w:t>
      </w:r>
    </w:p>
    <w:p w14:paraId="5DD6DD78" w14:textId="77777777" w:rsidR="008E5A22" w:rsidRDefault="008E5A22">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central hypothesis that the covalency descriptor predicts the position of the Asanuma optimum.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[38], with equilibrium and radiation-dose controls preceding any descriptor claim.</w:t>
      </w:r>
    </w:p>
    <w:p w14:paraId="16FB2E52" w14:textId="77777777" w:rsidR="008E5A22" w:rsidRDefault="008E5A22">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C50C01" w14:paraId="515A1BA6"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2CBE9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89815D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D8AF6C0"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7292A8B"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1520E01"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3F031B4"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0AF8B1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9782D92"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2794509"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C50C01" w14:paraId="760651F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E37DA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5955E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4142A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A6E24D"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447186"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3FB73"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20F1F"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ACF6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D3BCFF" w14:textId="77777777" w:rsidR="008E5A22" w:rsidRDefault="008E5A22">
            <w:pPr>
              <w:spacing w:before="120" w:after="200"/>
              <w:jc w:val="center"/>
              <w:rPr>
                <w:rFonts w:eastAsia="Times New Roman"/>
                <w:sz w:val="20"/>
                <w:szCs w:val="20"/>
              </w:rPr>
            </w:pPr>
          </w:p>
        </w:tc>
      </w:tr>
      <w:tr w:rsidR="00C50C01" w14:paraId="792BD28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4181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9D521F"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643D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94D04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F079D57"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2C197A"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DA355C"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3DF4AB" w14:textId="77777777" w:rsidR="008E5A22" w:rsidRDefault="008E5A22">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033B1" w14:textId="77777777" w:rsidR="008E5A22" w:rsidRDefault="008E5A22">
            <w:pPr>
              <w:spacing w:before="120" w:after="200"/>
              <w:jc w:val="center"/>
              <w:rPr>
                <w:rFonts w:eastAsia="Times New Roman"/>
                <w:sz w:val="20"/>
                <w:szCs w:val="20"/>
              </w:rPr>
            </w:pPr>
          </w:p>
        </w:tc>
      </w:tr>
      <w:tr w:rsidR="00C50C01" w14:paraId="31A08DB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38A55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ADC49" w14:textId="77777777" w:rsidR="008E5A22" w:rsidRDefault="008E5A2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1976A"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2A8E81"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A9D244"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F447A8" w14:textId="77777777" w:rsidR="008E5A22" w:rsidRDefault="008E5A2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6DC069"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7B67D1"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4A9770" w14:textId="77777777" w:rsidR="008E5A22" w:rsidRDefault="008E5A2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76959DA" w14:textId="77777777" w:rsidR="008E5A22" w:rsidRDefault="008E5A22">
      <w:pPr>
        <w:pStyle w:val="Heading2"/>
        <w:rPr>
          <w:rFonts w:ascii="Arial" w:eastAsia="Times New Roman" w:hAnsi="Arial" w:cs="Arial"/>
        </w:rPr>
      </w:pPr>
      <w:r>
        <w:rPr>
          <w:rFonts w:ascii="Arial" w:eastAsia="Times New Roman" w:hAnsi="Arial" w:cs="Arial"/>
        </w:rPr>
        <w:t>5  Career perspective and return strategy</w:t>
      </w:r>
    </w:p>
    <w:p w14:paraId="1FA8FF20" w14:textId="77777777" w:rsidR="008E5A22" w:rsidRDefault="008E5A22">
      <w:pPr>
        <w:pStyle w:val="NormalWeb"/>
        <w:rPr>
          <w:rFonts w:ascii="Arial" w:hAnsi="Arial" w:cs="Arial"/>
          <w:sz w:val="21"/>
          <w:szCs w:val="21"/>
        </w:rPr>
      </w:pPr>
      <w:r>
        <w:rPr>
          <w:rFonts w:ascii="Arial" w:hAnsi="Arial" w:cs="Arial"/>
          <w:sz w:val="21"/>
          <w:szCs w:val="21"/>
        </w:rPr>
        <w:t>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PCMO dataset) for the larger programme of a “treasure map” of memristive oxides in analogy to the bonding-descriptor maps of Wuttig et al. [21]. The choice of the mechanism-stable PCMO family for this fellowship is deliberate: it de-risks the descriptor methodology on the cleanest possible system; the subsequent group programme then scales it to the ferrite and cobaltite families, where topotactic phase transitions are no longer a confounder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31503D13" w14:textId="77777777" w:rsidR="008E5A22" w:rsidRDefault="008E5A22">
      <w:pPr>
        <w:pStyle w:val="Heading2"/>
        <w:rPr>
          <w:rFonts w:ascii="Arial" w:eastAsia="Times New Roman" w:hAnsi="Arial" w:cs="Arial"/>
        </w:rPr>
      </w:pPr>
      <w:r>
        <w:rPr>
          <w:rFonts w:ascii="Arial" w:eastAsia="Times New Roman" w:hAnsi="Arial" w:cs="Arial"/>
        </w:rPr>
        <w:t>6  References</w:t>
      </w:r>
    </w:p>
    <w:p w14:paraId="6E43E28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 R. Waser, M. Aono, Nanoionics-based resistive switching memories. Nature Materials 6, 833–840 (2007).</w:t>
      </w:r>
    </w:p>
    <w:p w14:paraId="3D576DED" w14:textId="77777777" w:rsidR="008E5A22" w:rsidRDefault="008E5A22">
      <w:pPr>
        <w:spacing w:after="60"/>
        <w:ind w:hanging="480"/>
        <w:divId w:val="207365308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E20FF2D" w14:textId="77777777" w:rsidR="008E5A22" w:rsidRDefault="008E5A22">
      <w:pPr>
        <w:spacing w:after="60"/>
        <w:ind w:hanging="480"/>
        <w:divId w:val="207365308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2EA58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3571F48" w14:textId="77777777" w:rsidR="008E5A22" w:rsidRDefault="008E5A22">
      <w:pPr>
        <w:spacing w:after="60"/>
        <w:ind w:hanging="480"/>
        <w:divId w:val="2073653082"/>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20580498" w14:textId="77777777" w:rsidR="008E5A22" w:rsidRDefault="008E5A22">
      <w:pPr>
        <w:spacing w:after="60"/>
        <w:ind w:hanging="480"/>
        <w:divId w:val="2073653082"/>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6BB50339" w14:textId="77777777" w:rsidR="008E5A22" w:rsidRDefault="008E5A22">
      <w:pPr>
        <w:spacing w:after="60"/>
        <w:ind w:hanging="480"/>
        <w:divId w:val="2073653082"/>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A4990E7" w14:textId="77777777" w:rsidR="008E5A22" w:rsidRDefault="008E5A22">
      <w:pPr>
        <w:spacing w:after="60"/>
        <w:ind w:hanging="480"/>
        <w:divId w:val="2073653082"/>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1348B6AD" w14:textId="00D7E6F7" w:rsidR="008E5A22" w:rsidRDefault="008E5A22">
      <w:pPr>
        <w:spacing w:after="60"/>
        <w:ind w:hanging="480"/>
        <w:divId w:val="2073653082"/>
        <w:rPr>
          <w:rFonts w:ascii="Arial" w:hAnsi="Arial" w:cs="Arial"/>
          <w:sz w:val="18"/>
          <w:szCs w:val="18"/>
        </w:rPr>
      </w:pPr>
      <w:r>
        <w:rPr>
          <w:rFonts w:ascii="Arial" w:hAnsi="Arial" w:cs="Arial"/>
          <w:sz w:val="18"/>
          <w:szCs w:val="18"/>
        </w:rPr>
        <w:t>[9] G. Lole, F. Ebrahimi, T. Meyer, D. Mierwaldt, V. Roddatis, J. Geppert, M. Risch, C. Jooss, Contrasting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OER Catalysts with Different Valences and Covalences. The Journal of Physical Chemistry C 127, 177-186 (2023), DOI 10.1021/acs.jpcc.2c05622.</w:t>
      </w:r>
    </w:p>
    <w:p w14:paraId="6794CCA2" w14:textId="77777777" w:rsidR="008E5A22" w:rsidRDefault="008E5A22">
      <w:pPr>
        <w:spacing w:after="60"/>
        <w:ind w:hanging="480"/>
        <w:divId w:val="2073653082"/>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527B4F1F" w14:textId="77777777" w:rsidR="008E5A22" w:rsidRDefault="008E5A22">
      <w:pPr>
        <w:spacing w:after="60"/>
        <w:ind w:hanging="480"/>
        <w:divId w:val="2073653082"/>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5F974428" w14:textId="77777777" w:rsidR="008E5A22" w:rsidRDefault="008E5A22">
      <w:pPr>
        <w:spacing w:after="60"/>
        <w:ind w:hanging="480"/>
        <w:divId w:val="2073653082"/>
        <w:rPr>
          <w:rFonts w:ascii="Arial" w:hAnsi="Arial" w:cs="Arial"/>
          <w:sz w:val="18"/>
          <w:szCs w:val="18"/>
        </w:rPr>
      </w:pPr>
      <w:r>
        <w:rPr>
          <w:rFonts w:ascii="Arial" w:hAnsi="Arial" w:cs="Arial"/>
          <w:sz w:val="18"/>
          <w:szCs w:val="18"/>
        </w:rPr>
        <w:t>[12] S. Q. Liu, N. J. Wu, A. Ignatiev, Electric-pulse-induced reversible resistance change effect in magnetoresistive films. Applied Physics Letters 76, 2749–2751 (2000).</w:t>
      </w:r>
    </w:p>
    <w:p w14:paraId="491EA1F3" w14:textId="77777777" w:rsidR="008E5A22" w:rsidRDefault="008E5A22">
      <w:pPr>
        <w:spacing w:after="60"/>
        <w:ind w:hanging="480"/>
        <w:divId w:val="2073653082"/>
        <w:rPr>
          <w:rFonts w:ascii="Arial" w:hAnsi="Arial" w:cs="Arial"/>
          <w:sz w:val="18"/>
          <w:szCs w:val="18"/>
        </w:rPr>
      </w:pPr>
      <w:r>
        <w:rPr>
          <w:rFonts w:ascii="Arial" w:hAnsi="Arial" w:cs="Arial"/>
          <w:sz w:val="18"/>
          <w:szCs w:val="18"/>
        </w:rPr>
        <w:t>[13] A. Sawa, T. Fujii, M. Kawasaki, Y. Tokura, Hysteretic current–voltage characteristics and resistance switching at a rectifying Ti/Pr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interface. Applied Physics Letters 85, 4073–4075 (2004).</w:t>
      </w:r>
    </w:p>
    <w:p w14:paraId="3737C4F0" w14:textId="77777777" w:rsidR="008E5A22" w:rsidRDefault="008E5A22">
      <w:pPr>
        <w:spacing w:after="60"/>
        <w:ind w:hanging="480"/>
        <w:divId w:val="2073653082"/>
        <w:rPr>
          <w:rFonts w:ascii="Arial" w:hAnsi="Arial" w:cs="Arial"/>
          <w:sz w:val="18"/>
          <w:szCs w:val="18"/>
        </w:rPr>
      </w:pPr>
      <w:r>
        <w:rPr>
          <w:rFonts w:ascii="Arial" w:hAnsi="Arial" w:cs="Arial"/>
          <w:sz w:val="18"/>
          <w:szCs w:val="18"/>
        </w:rPr>
        <w:t>[14]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718B06F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D976BD9" w14:textId="77777777" w:rsidR="008E5A22" w:rsidRDefault="008E5A22">
      <w:pPr>
        <w:spacing w:after="60"/>
        <w:ind w:hanging="480"/>
        <w:divId w:val="2073653082"/>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5116B87" w14:textId="77777777" w:rsidR="008E5A22" w:rsidRDefault="008E5A22">
      <w:pPr>
        <w:spacing w:after="60"/>
        <w:ind w:hanging="480"/>
        <w:divId w:val="2073653082"/>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7856F215" w14:textId="77777777" w:rsidR="008E5A22" w:rsidRDefault="008E5A22">
      <w:pPr>
        <w:spacing w:after="60"/>
        <w:ind w:hanging="480"/>
        <w:divId w:val="2073653082"/>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A91F9E1" w14:textId="77777777" w:rsidR="008E5A22" w:rsidRDefault="008E5A22">
      <w:pPr>
        <w:spacing w:after="60"/>
        <w:ind w:hanging="480"/>
        <w:divId w:val="2073653082"/>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0D2BF619" w14:textId="77777777" w:rsidR="008E5A22" w:rsidRDefault="008E5A22">
      <w:pPr>
        <w:spacing w:after="60"/>
        <w:ind w:hanging="480"/>
        <w:divId w:val="2073653082"/>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6A8CC9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2073653082"/>
        <w:rPr>
          <w:rFonts w:ascii="Arial" w:hAnsi="Arial" w:cs="Arial"/>
          <w:sz w:val="18"/>
          <w:szCs w:val="18"/>
        </w:rPr>
      </w:pPr>
      <w:r>
        <w:rPr>
          <w:rFonts w:ascii="Arial" w:hAnsi="Arial" w:cs="Arial"/>
          <w:sz w:val="18"/>
          <w:szCs w:val="18"/>
        </w:rPr>
        <w:t xml:space="preserve">[22] A. Schulman, H. Huhtinen, P. Paturi, Manganite memristive devices: recent progress and emerging opportunities. Journal of Physics D: Applied Physics 57, 422001 (2024).</w:t>
      </w:r>
    </w:p>
    <w:p>
      <w:pPr>
        <w:spacing w:after="60"/>
        <w:ind w:hanging="480"/>
        <w:divId w:val="2073653082"/>
        <w:rPr>
          <w:rFonts w:ascii="Arial" w:hAnsi="Arial" w:cs="Arial"/>
          <w:sz w:val="18"/>
          <w:szCs w:val="18"/>
        </w:rPr>
      </w:pPr>
      <w:r>
        <w:rPr>
          <w:rFonts w:ascii="Arial" w:hAnsi="Arial" w:cs="Arial"/>
          <w:sz w:val="18"/>
          <w:szCs w:val="18"/>
        </w:rPr>
        <w:t xml:space="preserve">[23]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2073653082"/>
        <w:rPr>
          <w:rFonts w:ascii="Arial" w:hAnsi="Arial" w:cs="Arial"/>
          <w:sz w:val="18"/>
          <w:szCs w:val="18"/>
        </w:rPr>
      </w:pPr>
      <w:r>
        <w:rPr>
          <w:rFonts w:ascii="Arial" w:hAnsi="Arial" w:cs="Arial"/>
          <w:sz w:val="18"/>
          <w:szCs w:val="18"/>
        </w:rPr>
        <w:t xml:space="preserve">[24] T. Kramer, M. Scherff, D. Mierwaldt, J. Hoffmann, C. Jooss, Role of oxygen vacancies for resistive switching in noble metal sandwiched Pr0.67Ca0.33MnO3-δ. Applied Physics Letters 110, 243502 (2017).</w:t>
      </w:r>
    </w:p>
    <w:p>
      <w:pPr>
        <w:spacing w:after="60"/>
        <w:ind w:hanging="480"/>
        <w:divId w:val="2073653082"/>
        <w:rPr>
          <w:rFonts w:ascii="Arial" w:hAnsi="Arial" w:cs="Arial"/>
          <w:sz w:val="18"/>
          <w:szCs w:val="18"/>
        </w:rPr>
      </w:pPr>
      <w:r>
        <w:rPr>
          <w:rFonts w:ascii="Arial" w:hAnsi="Arial" w:cs="Arial"/>
          <w:sz w:val="18"/>
          <w:szCs w:val="18"/>
        </w:rPr>
        <w:t xml:space="preserve">[25] T. Nakamura, K. Homma, K. Tachibana, Thin film deposition of metal oxides in resistance switching devices: electrode material dependence of resistance switching in manganite films. Nanoscale Research Letters 8, 76 (2013).</w:t>
      </w:r>
    </w:p>
    <w:p>
      <w:pPr>
        <w:spacing w:after="60"/>
        <w:ind w:hanging="480"/>
        <w:divId w:val="2073653082"/>
        <w:rPr>
          <w:rFonts w:ascii="Arial" w:hAnsi="Arial" w:cs="Arial"/>
          <w:sz w:val="18"/>
          <w:szCs w:val="18"/>
        </w:rPr>
      </w:pPr>
      <w:r>
        <w:rPr>
          <w:rFonts w:ascii="Arial" w:hAnsi="Arial" w:cs="Arial"/>
          <w:sz w:val="18"/>
          <w:szCs w:val="18"/>
        </w:rPr>
        <w:t xml:space="preserve">[26] J. Zaanen, G. A. Sawatzky, J. W. Allen, Band gaps and electronic structure of transition-metal compounds. Physical Review Letters 55, 418–421 (1985).</w:t>
      </w:r>
    </w:p>
    <w:p>
      <w:pPr>
        <w:spacing w:after="60"/>
        <w:ind w:hanging="480"/>
        <w:divId w:val="2073653082"/>
        <w:rPr>
          <w:rFonts w:ascii="Arial" w:hAnsi="Arial" w:cs="Arial"/>
          <w:sz w:val="18"/>
          <w:szCs w:val="18"/>
        </w:rPr>
      </w:pPr>
      <w:r>
        <w:rPr>
          <w:rFonts w:ascii="Arial" w:hAnsi="Arial" w:cs="Arial"/>
          <w:sz w:val="18"/>
          <w:szCs w:val="18"/>
        </w:rPr>
        <w:t xml:space="preserve">[27] A. Fujimori, F. Minami, Valence-band photoemission and optical absorption in nickel compounds. Physical Review B 30, 957–971 (1984).</w:t>
      </w:r>
    </w:p>
    <w:p>
      <w:pPr>
        <w:spacing w:after="60"/>
        <w:ind w:hanging="480"/>
        <w:divId w:val="2073653082"/>
        <w:rPr>
          <w:rFonts w:ascii="Arial" w:hAnsi="Arial" w:cs="Arial"/>
          <w:sz w:val="18"/>
          <w:szCs w:val="18"/>
        </w:rPr>
      </w:pPr>
      <w:r>
        <w:rPr>
          <w:rFonts w:ascii="Arial" w:hAnsi="Arial" w:cs="Arial"/>
          <w:sz w:val="18"/>
          <w:szCs w:val="18"/>
        </w:rPr>
        <w:t xml:space="preserve">[28] A. E. Bocquet, T. Mizokawa, T. Saitoh, H. Namatame, A. Fujimori, Electronic structure of 3d-transition-metal compounds by analysis of the 2p core-level photoemission spectra. Physical Review B 46, 3771–3784 (1992).</w:t>
      </w:r>
    </w:p>
    <w:p>
      <w:pPr>
        <w:spacing w:after="60"/>
        <w:ind w:hanging="480"/>
        <w:divId w:val="2073653082"/>
        <w:rPr>
          <w:rFonts w:ascii="Arial" w:hAnsi="Arial" w:cs="Arial"/>
          <w:sz w:val="18"/>
          <w:szCs w:val="18"/>
        </w:rPr>
      </w:pPr>
      <w:r>
        <w:rPr>
          <w:rFonts w:ascii="Arial" w:hAnsi="Arial" w:cs="Arial"/>
          <w:sz w:val="18"/>
          <w:szCs w:val="18"/>
        </w:rPr>
        <w:t xml:space="preserve">[29] T. Saitoh, A. E. Bocquet, T. Mizokawa, A. Fujimori, Systematic variation of the electronic structure of 3d transition-metal compounds. Physical Review B 52, 7934–7938 (1995).</w:t>
      </w:r>
    </w:p>
    <w:p>
      <w:pPr>
        <w:spacing w:after="60"/>
        <w:ind w:hanging="480"/>
        <w:divId w:val="2073653082"/>
        <w:rPr>
          <w:rFonts w:ascii="Arial" w:hAnsi="Arial" w:cs="Arial"/>
          <w:sz w:val="18"/>
          <w:szCs w:val="18"/>
        </w:rPr>
      </w:pPr>
      <w:r>
        <w:rPr>
          <w:rFonts w:ascii="Arial" w:hAnsi="Arial" w:cs="Arial"/>
          <w:sz w:val="18"/>
          <w:szCs w:val="18"/>
        </w:rPr>
        <w:t xml:space="preserve">[30] S. Nimkar, D. D. Sarma, H. R. Krishnamurthy, S. Ramasesha, Mean-field results of the multiple-band extended Hubbard model for the square-planar CuO2 lattice. Physical Review B 48, 7355–7363 (1993).</w:t>
      </w:r>
    </w:p>
    <w:p>
      <w:pPr>
        <w:spacing w:after="60"/>
        <w:ind w:hanging="480"/>
        <w:divId w:val="2073653082"/>
        <w:rPr>
          <w:rFonts w:ascii="Arial" w:hAnsi="Arial" w:cs="Arial"/>
          <w:sz w:val="18"/>
          <w:szCs w:val="18"/>
        </w:rPr>
      </w:pPr>
      <w:r>
        <w:rPr>
          <w:rFonts w:ascii="Arial" w:hAnsi="Arial" w:cs="Arial"/>
          <w:sz w:val="18"/>
          <w:szCs w:val="18"/>
        </w:rPr>
        <w:t xml:space="preserve">[31] F. M. F. de Groot, X-ray absorption and dichroism of transition metals and their compounds. Journal of Electron Spectroscopy and Related Phenomena 67, 529–622 (1994).</w:t>
      </w:r>
    </w:p>
    <w:p>
      <w:pPr>
        <w:spacing w:after="60"/>
        <w:ind w:hanging="480"/>
        <w:divId w:val="2073653082"/>
        <w:rPr>
          <w:rFonts w:ascii="Arial" w:hAnsi="Arial" w:cs="Arial"/>
          <w:sz w:val="18"/>
          <w:szCs w:val="18"/>
        </w:rPr>
      </w:pPr>
      <w:r>
        <w:rPr>
          <w:rFonts w:ascii="Arial" w:hAnsi="Arial" w:cs="Arial"/>
          <w:sz w:val="18"/>
          <w:szCs w:val="18"/>
        </w:rPr>
        <w:t xml:space="preserve">[32] T. Saitoh, A. E. Bocquet, T. Mizokawa, H. Namatame, A. Fujimori, M. Abbate, Y. Takeda, M. Takano, Electronic structure of La1-xSrxMnO3 studied by photoemission and x-ray-absorption spectroscopy. Physical Review B 51, 13942–13951 (1995).</w:t>
      </w:r>
    </w:p>
    <w:p>
      <w:pPr>
        <w:spacing w:after="60"/>
        <w:ind w:hanging="480"/>
        <w:divId w:val="2073653082"/>
        <w:rPr>
          <w:rFonts w:ascii="Arial" w:hAnsi="Arial" w:cs="Arial"/>
          <w:sz w:val="18"/>
          <w:szCs w:val="18"/>
        </w:rPr>
      </w:pPr>
      <w:r>
        <w:rPr>
          <w:rFonts w:ascii="Arial" w:hAnsi="Arial" w:cs="Arial"/>
          <w:sz w:val="18"/>
          <w:szCs w:val="18"/>
        </w:rPr>
        <w:t xml:space="preserve">[33] K. Ebata, M. Hashimoto, K. Tanaka, A. Fujimori, Y. Tomioka, Y. Tokura, Chemical potential shift and spectral-weight transfer in Pr1-xCaxMnO3. Physical Review B 76, 174418 (2007). [verify exact title before submission]</w:t>
      </w:r>
    </w:p>
    <w:p>
      <w:pPr>
        <w:spacing w:after="60"/>
        <w:ind w:hanging="480"/>
        <w:divId w:val="2073653082"/>
        <w:rPr>
          <w:rFonts w:ascii="Arial" w:hAnsi="Arial" w:cs="Arial"/>
          <w:sz w:val="18"/>
          <w:szCs w:val="18"/>
        </w:rPr>
      </w:pPr>
      <w:r>
        <w:rPr>
          <w:rFonts w:ascii="Arial" w:hAnsi="Arial" w:cs="Arial"/>
          <w:sz w:val="18"/>
          <w:szCs w:val="18"/>
        </w:rPr>
        <w:t xml:space="preserve">[34]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2073653082"/>
        <w:rPr>
          <w:rFonts w:ascii="Arial" w:hAnsi="Arial" w:cs="Arial"/>
          <w:sz w:val="18"/>
          <w:szCs w:val="18"/>
        </w:rPr>
      </w:pPr>
      <w:r>
        <w:rPr>
          <w:rFonts w:ascii="Arial" w:hAnsi="Arial" w:cs="Arial"/>
          <w:sz w:val="18"/>
          <w:szCs w:val="18"/>
        </w:rPr>
        <w:t xml:space="preserve">[35] M. Lorenz, H. Hochmuth, H. von Wenckstern, M. Grundmann, Flexible hardware concept of pulsed laser deposition for large areas and combinatorial composition spreads. Review of Scientific Instruments 94, 083905 (2023).</w:t>
      </w:r>
    </w:p>
    <w:p>
      <w:pPr>
        <w:spacing w:after="60"/>
        <w:ind w:hanging="480"/>
        <w:divId w:val="2073653082"/>
        <w:rPr>
          <w:rFonts w:ascii="Arial" w:hAnsi="Arial" w:cs="Arial"/>
          <w:sz w:val="18"/>
          <w:szCs w:val="18"/>
        </w:rPr>
      </w:pPr>
      <w:r>
        <w:rPr>
          <w:rFonts w:ascii="Arial" w:hAnsi="Arial" w:cs="Arial"/>
          <w:sz w:val="18"/>
          <w:szCs w:val="18"/>
        </w:rPr>
        <w:t xml:space="preserve">[36] A. Venimadhav, K. A. Yates, M. G. Blamire, Scanning Raman Spectroscopy for Characterizing Compositionally Spread Films. Journal of Combinatorial Chemistry 7, 85–89 (2005).</w:t>
      </w:r>
    </w:p>
    <w:p>
      <w:pPr>
        <w:spacing w:after="60"/>
        <w:ind w:hanging="480"/>
        <w:divId w:val="2073653082"/>
        <w:rPr>
          <w:rFonts w:ascii="Arial" w:hAnsi="Arial" w:cs="Arial"/>
          <w:sz w:val="18"/>
          <w:szCs w:val="18"/>
        </w:rPr>
      </w:pPr>
      <w:r>
        <w:rPr>
          <w:rFonts w:ascii="Arial" w:hAnsi="Arial" w:cs="Arial"/>
          <w:sz w:val="18"/>
          <w:szCs w:val="18"/>
        </w:rPr>
        <w:t xml:space="preserve">[37]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2073653082"/>
        <w:rPr>
          <w:rFonts w:ascii="Arial" w:hAnsi="Arial" w:cs="Arial"/>
          <w:sz w:val="18"/>
          <w:szCs w:val="18"/>
        </w:rPr>
      </w:pPr>
      <w:r>
        <w:rPr>
          <w:rFonts w:ascii="Arial" w:hAnsi="Arial" w:cs="Arial"/>
          <w:sz w:val="18"/>
          <w:szCs w:val="18"/>
        </w:rPr>
        <w:t xml:space="preserve">[38] D. C. Grinter, P. Ferrer, F. Venturini, M. A. van Spronsen, A. I. Large et al., VerSoX B07-B: a high-throughput XPS and ambient pressure NEXAFS beamline at Diamond Light Source. Journal of Synchrotron Radiation 31, 578–589 (2024).</w:t>
      </w:r>
    </w:p>
    <w:p>
      <w:pPr>
        <w:spacing w:after="60"/>
        <w:ind w:hanging="480"/>
        <w:divId w:val="2073653082"/>
        <w:rPr>
          <w:rFonts w:ascii="Arial" w:hAnsi="Arial" w:cs="Arial"/>
          <w:sz w:val="18"/>
          <w:szCs w:val="18"/>
        </w:rPr>
      </w:pPr>
      <w:r>
        <w:rPr>
          <w:rFonts w:ascii="Arial" w:hAnsi="Arial" w:cs="Arial"/>
          <w:sz w:val="18"/>
          <w:szCs w:val="18"/>
        </w:rPr>
        <w:t xml:space="preserve">[39] M. Tang, L. Dai, M. Cheng, Y. Zhang, Y. Wang et al., High-Throughput Screening Thickness-Dependent Resistive Switching in SrTiO3 Thin Films for Robust Electronic Synapse. Advanced Functional Materials 33, 2213874 (2023).</w:t>
      </w:r>
    </w:p>
    <w:p>
      <w:pPr>
        <w:spacing w:after="60"/>
        <w:ind w:hanging="480"/>
        <w:divId w:val="2073653082"/>
        <w:rPr>
          <w:rFonts w:ascii="Arial" w:hAnsi="Arial" w:cs="Arial"/>
          <w:sz w:val="18"/>
          <w:szCs w:val="18"/>
        </w:rPr>
      </w:pPr>
      <w:r>
        <w:rPr>
          <w:rFonts w:ascii="Arial" w:hAnsi="Arial" w:cs="Arial"/>
          <w:sz w:val="18"/>
          <w:szCs w:val="18"/>
        </w:rPr>
        <w:t xml:space="preserve">[40]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2073653082"/>
        <w:rPr>
          <w:rFonts w:ascii="Arial" w:hAnsi="Arial" w:cs="Arial"/>
          <w:sz w:val="18"/>
          <w:szCs w:val="18"/>
        </w:rPr>
      </w:pPr>
      <w:r>
        <w:rPr>
          <w:rFonts w:ascii="Arial" w:hAnsi="Arial" w:cs="Arial"/>
          <w:sz w:val="18"/>
          <w:szCs w:val="18"/>
        </w:rPr>
        <w:t xml:space="preserve">[41] W. C. Chueh, S. M. Haile, Electrochemical studies of capacitance in cerium oxide thin films and its relationship to anionic and electronic defect densities. Physical Chemistry Chemical Physics 11, 8144–8148 (2009).</w:t>
      </w:r>
    </w:p>
    <w:p>
      <w:pPr>
        <w:spacing w:after="60"/>
        <w:ind w:hanging="480"/>
        <w:divId w:val="2073653082"/>
        <w:rPr>
          <w:rFonts w:ascii="Arial" w:hAnsi="Arial" w:cs="Arial"/>
          <w:sz w:val="18"/>
          <w:szCs w:val="18"/>
        </w:rPr>
      </w:pPr>
      <w:r>
        <w:rPr>
          <w:rFonts w:ascii="Arial" w:hAnsi="Arial" w:cs="Arial"/>
          <w:sz w:val="18"/>
          <w:szCs w:val="18"/>
        </w:rPr>
        <w:t xml:space="preserve">[42] A. Schmid, G. M. Rupp, J. Fleig, Voltage and partial pressure dependent defect chemistry in (La,Sr)FeO3-δ thin films investigated by chemical capacitance measurements. Physical Chemistry Chemical Physics 20, 12016–12026 (2018).</w:t>
      </w:r>
    </w:p>
    <w:p>
      <w:pPr>
        <w:spacing w:after="60"/>
        <w:ind w:hanging="480"/>
        <w:divId w:val="2073653082"/>
        <w:rPr>
          <w:rFonts w:ascii="Arial" w:hAnsi="Arial" w:cs="Arial"/>
          <w:sz w:val="18"/>
          <w:szCs w:val="18"/>
        </w:rPr>
      </w:pPr>
      <w:r>
        <w:rPr>
          <w:rFonts w:ascii="Arial" w:hAnsi="Arial" w:cs="Arial"/>
          <w:sz w:val="18"/>
          <w:szCs w:val="18"/>
        </w:rPr>
        <w:t xml:space="preserve">[43] J. J. Kim, S. R. Bishop, N. J. Thompson, H. L. Tuller, Investigation of Nonstoichiometry in Oxide Thin Films by Simultaneous in Situ Optical Absorption and Chemical Capacitance Measurements: Pr-Doped Ceria, a Case Study. Chemistry of Materials 26, 1374–1379 (2014).</w:t>
      </w:r>
    </w:p>
    <w:p>
      <w:pPr>
        <w:spacing w:after="60"/>
        <w:ind w:hanging="480"/>
        <w:divId w:val="2073653082"/>
        <w:rPr>
          <w:rFonts w:ascii="Arial" w:hAnsi="Arial" w:cs="Arial"/>
          <w:sz w:val="18"/>
          <w:szCs w:val="18"/>
        </w:rPr>
      </w:pPr>
      <w:r>
        <w:rPr>
          <w:rFonts w:ascii="Arial" w:hAnsi="Arial" w:cs="Arial"/>
          <w:sz w:val="18"/>
          <w:szCs w:val="18"/>
        </w:rPr>
        <w:t xml:space="preserve">[44] E. Stavitski, F. M. F. de Groot, The CTM4XAS program for EELS and XAS spectral shape analysis of transition metal L edges. Micron 41, 687-694 (2010).</w:t>
      </w:r>
    </w:p>
    <w:p>
      <w:pPr>
        <w:spacing w:after="60"/>
        <w:ind w:hanging="480"/>
        <w:divId w:val="2073653082"/>
        <w:rPr>
          <w:rFonts w:ascii="Arial" w:hAnsi="Arial" w:cs="Arial"/>
          <w:sz w:val="18"/>
          <w:szCs w:val="18"/>
        </w:rPr>
      </w:pPr>
      <w:r>
        <w:rPr>
          <w:rFonts w:ascii="Arial" w:hAnsi="Arial" w:cs="Arial"/>
          <w:sz w:val="18"/>
          <w:szCs w:val="18"/>
        </w:rPr>
        <w:t xml:space="preserve">[45] M. W. Haverkort, M. Zwierzycki, O. K. Andersen, Multiplet ligand-field theory using Wannier orbitals. Physical Review B 85, 165113 (2012).</w:t>
      </w:r>
    </w:p>
    <w:p w14:paraId="3629FB22" w14:textId="77777777" w:rsidR="008E5A22" w:rsidRDefault="008E5A22">
      <w:pPr>
        <w:spacing w:after="60"/>
        <w:ind w:hanging="480"/>
        <w:divId w:val="2073653082"/>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03940FE3" w14:textId="77777777" w:rsidR="008E5A22" w:rsidRDefault="008E5A22">
      <w:pPr>
        <w:spacing w:after="60"/>
        <w:ind w:hanging="480"/>
        <w:divId w:val="2073653082"/>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322458" w14:textId="77777777" w:rsidR="008E5A22" w:rsidRDefault="008E5A22">
      <w:pPr>
        <w:spacing w:after="60"/>
        <w:ind w:hanging="480"/>
        <w:divId w:val="2073653082"/>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8A93C9B" w14:textId="77777777" w:rsidR="008E5A22" w:rsidRDefault="008E5A22">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C50C01" w14:paraId="21E64BF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F86CAB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11BC878" w14:textId="77777777" w:rsidR="008E5A22" w:rsidRDefault="008E5A22">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C50C01" w14:paraId="2923DD1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FDB25B"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B007B1"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C50C01" w14:paraId="07DC35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E59DF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EB31A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C50C01" w14:paraId="51BD59B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F39578"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9DF6F"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C50C01" w14:paraId="50CAE20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27009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4E958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C50C01" w14:paraId="42F146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4E617E"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FED9AA"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C50C01" w14:paraId="4228FE7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1BD44D"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AC5AEC"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C50C01" w14:paraId="7455DF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B77A25"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D59F87" w14:textId="77777777" w:rsidR="008E5A22" w:rsidRDefault="008E5A22">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1D787D11" w14:textId="77777777" w:rsidR="008E5A22" w:rsidRDefault="008E5A22">
      <w:pPr>
        <w:pStyle w:val="Heading2"/>
        <w:rPr>
          <w:rFonts w:ascii="Arial" w:eastAsia="Times New Roman" w:hAnsi="Arial" w:cs="Arial"/>
        </w:rPr>
      </w:pPr>
      <w:r>
        <w:rPr>
          <w:rFonts w:ascii="Arial" w:eastAsia="Times New Roman" w:hAnsi="Arial" w:cs="Arial"/>
        </w:rPr>
        <w:t>Fellowship benefits (for orientation, as of 2026)</w:t>
      </w:r>
    </w:p>
    <w:p w14:paraId="3262BFBB" w14:textId="77777777" w:rsidR="008E5A22" w:rsidRDefault="008E5A22">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8E5A2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534"/>
    <w:rsid w:val="003C7534"/>
    <w:rsid w:val="008E5A22"/>
    <w:rsid w:val="009521A0"/>
    <w:rsid w:val="00B74F8F"/>
    <w:rsid w:val="00C37513"/>
    <w:rsid w:val="00C50C0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9E4DB0"/>
  <w15:chartTrackingRefBased/>
  <w15:docId w15:val="{EB2E8832-DCFB-4847-BEA2-EC3DB9F250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73653082">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2518</Words>
  <Characters>14353</Characters>
  <Application>Microsoft Office Word</Application>
  <DocSecurity>0</DocSecurity>
  <Lines>119</Lines>
  <Paragraphs>33</Paragraphs>
  <ScaleCrop>false</ScaleCrop>
  <Company/>
  <LinksUpToDate>false</LinksUpToDate>
  <CharactersWithSpaces>16838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3</cp:revision>
  <dcterms:created xsi:type="dcterms:W3CDTF">2026-08-09T14:10:00Z</dcterms:created>
  <dcterms:modified xsi:type="dcterms:W3CDTF">2026-08-09T14:54:00Z</dcterms:modified>
</cp:coreProperties>
</file>