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rPr>
        <w:t xml:space="preserve">DAAD PRIME – Postdoctoral Researchers International Mobility Experience</w:t>
      </w:r>
    </w:p>
    <w:p>
      <w:pPr>
        <w:pStyle w:val="Title"/>
      </w:pPr>
      <w:r>
        <w:t xml:space="preserve">Covalency as an Experimental Descriptor of Memristive Switching: the La1-xSrxFeO3-δ Series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00"/>
        <w:gridCol w:w="6672"/>
      </w:tblGrid>
      <w:tr>
        <w:tc>
          <w:tcPr>
            <w:tcW w:type="dxa" w:w="2400"/>
            <w:shd w:fill="EEF1F5" w:val="clear"/>
            <w:tcMar>
              <w:top w:type="dxa" w:w="50"/>
              <w:left w:type="dxa" w:w="90"/>
              <w:bottom w:type="dxa" w:w="50"/>
              <w:right w:type="dxa" w:w="90"/>
            </w:tcMar>
          </w:tcPr>
          <w:p>
            <w:r>
              <w:rPr>
                <w:b/>
                <w:bCs/>
                <w:sz w:val="19"/>
                <w:szCs w:val="19"/>
              </w:rPr>
              <w:t xml:space="preserve">Applicant</w:t>
            </w:r>
          </w:p>
        </w:tc>
        <w:tc>
          <w:tcPr>
            <w:tcW w:type="dxa" w:w="6672"/>
            <w:tcMar>
              <w:top w:type="dxa" w:w="50"/>
              <w:left w:type="dxa" w:w="90"/>
              <w:bottom w:type="dxa" w:w="50"/>
              <w:right w:type="dxa" w:w="90"/>
            </w:tcMar>
          </w:tcPr>
          <w:p>
            <w:r>
              <w:rPr>
                <w:b w:val="false"/>
                <w:bCs w:val="false"/>
                <w:sz w:val="19"/>
                <w:szCs w:val="19"/>
              </w:rPr>
              <w:t xml:space="preserve">Dr. Max Buczek, Postdoctoral Researcher, Peter Grünberg Institute (PGI-7), Forschungszentrum Jülich, Germany</w:t>
            </w:r>
          </w:p>
        </w:tc>
      </w:tr>
      <w:tr>
        <w:tc>
          <w:tcPr>
            <w:tcW w:type="dxa" w:w="2400"/>
            <w:shd w:fill="EEF1F5" w:val="clear"/>
            <w:tcMar>
              <w:top w:type="dxa" w:w="50"/>
              <w:left w:type="dxa" w:w="90"/>
              <w:bottom w:type="dxa" w:w="50"/>
              <w:right w:type="dxa" w:w="90"/>
            </w:tcMar>
          </w:tcPr>
          <w:p>
            <w:r>
              <w:rPr>
                <w:b/>
                <w:bCs/>
                <w:sz w:val="19"/>
                <w:szCs w:val="19"/>
              </w:rPr>
              <w:t xml:space="preserve">Host abroad</w:t>
            </w:r>
          </w:p>
        </w:tc>
        <w:tc>
          <w:tcPr>
            <w:tcW w:type="dxa" w:w="6672"/>
            <w:tcMar>
              <w:top w:type="dxa" w:w="50"/>
              <w:left w:type="dxa" w:w="90"/>
              <w:bottom w:type="dxa" w:w="50"/>
              <w:right w:type="dxa" w:w="90"/>
            </w:tcMar>
          </w:tcPr>
          <w:p>
            <w:r>
              <w:rPr>
                <w:b w:val="false"/>
                <w:bCs w:val="false"/>
                <w:sz w:val="19"/>
                <w:szCs w:val="19"/>
              </w:rPr>
              <w:t xml:space="preserve">Prof. Dr. William C. Chueh, Department of Materials Science and Engineering, Stanford University, USA (Stanford Synchrotron Radiation Lightsource, SSRL)</w:t>
            </w:r>
          </w:p>
        </w:tc>
      </w:tr>
      <w:tr>
        <w:tc>
          <w:tcPr>
            <w:tcW w:type="dxa" w:w="2400"/>
            <w:shd w:fill="EEF1F5" w:val="clear"/>
            <w:tcMar>
              <w:top w:type="dxa" w:w="50"/>
              <w:left w:type="dxa" w:w="90"/>
              <w:bottom w:type="dxa" w:w="50"/>
              <w:right w:type="dxa" w:w="90"/>
            </w:tcMar>
          </w:tcPr>
          <w:p>
            <w:r>
              <w:rPr>
                <w:b/>
                <w:bCs/>
                <w:sz w:val="19"/>
                <w:szCs w:val="19"/>
              </w:rPr>
              <w:t xml:space="preserve">German / European host</w:t>
            </w:r>
          </w:p>
        </w:tc>
        <w:tc>
          <w:tcPr>
            <w:tcW w:type="dxa" w:w="6672"/>
            <w:tcMar>
              <w:top w:type="dxa" w:w="50"/>
              <w:left w:type="dxa" w:w="90"/>
              <w:bottom w:type="dxa" w:w="50"/>
              <w:right w:type="dxa" w:w="90"/>
            </w:tcMar>
          </w:tcPr>
          <w:p>
            <w:r>
              <w:rPr>
                <w:b w:val="false"/>
                <w:bCs w:val="false"/>
                <w:sz w:val="19"/>
                <w:szCs w:val="19"/>
              </w:rPr>
              <w:t xml:space="preserve">[RWTH Aachen University or Forschungszentrum Jülich – to be fixed; hosts the return/reintegration phase where applicable]</w:t>
            </w:r>
          </w:p>
        </w:tc>
      </w:tr>
      <w:tr>
        <w:tc>
          <w:tcPr>
            <w:tcW w:type="dxa" w:w="2400"/>
            <w:shd w:fill="EEF1F5" w:val="clear"/>
            <w:tcMar>
              <w:top w:type="dxa" w:w="50"/>
              <w:left w:type="dxa" w:w="90"/>
              <w:bottom w:type="dxa" w:w="50"/>
              <w:right w:type="dxa" w:w="90"/>
            </w:tcMar>
          </w:tcPr>
          <w:p>
            <w:r>
              <w:rPr>
                <w:b/>
                <w:bCs/>
                <w:sz w:val="19"/>
                <w:szCs w:val="19"/>
              </w:rPr>
              <w:t xml:space="preserve">Duration</w:t>
            </w:r>
          </w:p>
        </w:tc>
        <w:tc>
          <w:tcPr>
            <w:tcW w:type="dxa" w:w="6672"/>
            <w:tcMar>
              <w:top w:type="dxa" w:w="50"/>
              <w:left w:type="dxa" w:w="90"/>
              <w:bottom w:type="dxa" w:w="50"/>
              <w:right w:type="dxa" w:w="90"/>
            </w:tcMar>
          </w:tcPr>
          <w:p>
            <w:r>
              <w:rPr>
                <w:b w:val="false"/>
                <w:bCs w:val="false"/>
                <w:sz w:val="19"/>
                <w:szCs w:val="19"/>
              </w:rPr>
              <w:t xml:space="preserve">18 months (12 abroad + 6 reintegration)</w:t>
            </w:r>
          </w:p>
        </w:tc>
      </w:tr>
      <w:tr>
        <w:tc>
          <w:tcPr>
            <w:tcW w:type="dxa" w:w="2400"/>
            <w:shd w:fill="EEF1F5" w:val="clear"/>
            <w:tcMar>
              <w:top w:type="dxa" w:w="50"/>
              <w:left w:type="dxa" w:w="90"/>
              <w:bottom w:type="dxa" w:w="50"/>
              <w:right w:type="dxa" w:w="90"/>
            </w:tcMar>
          </w:tcPr>
          <w:p>
            <w:r>
              <w:rPr>
                <w:b/>
                <w:bCs/>
                <w:sz w:val="19"/>
                <w:szCs w:val="19"/>
              </w:rPr>
              <w:t xml:space="preserve">Format</w:t>
            </w:r>
          </w:p>
        </w:tc>
        <w:tc>
          <w:tcPr>
            <w:tcW w:type="dxa" w:w="6672"/>
            <w:tcMar>
              <w:top w:type="dxa" w:w="50"/>
              <w:left w:type="dxa" w:w="90"/>
              <w:bottom w:type="dxa" w:w="50"/>
              <w:right w:type="dxa" w:w="90"/>
            </w:tcMar>
          </w:tcPr>
          <w:p>
            <w:r>
              <w:rPr>
                <w:b w:val="false"/>
                <w:bCs w:val="false"/>
                <w:sz w:val="19"/>
                <w:szCs w:val="19"/>
              </w:rPr>
              <w:t xml:space="preserve">18-month employment contract (TV-L E13) at a German university: 12 months abroad (Stanford University / SLAC) + 6-month reintegration phase in Germany [RWTH Aachen or FZ Jülich – commitment of the German host required]</w:t>
            </w:r>
          </w:p>
        </w:tc>
      </w:tr>
      <w:tr>
        <w:tc>
          <w:tcPr>
            <w:tcW w:type="dxa" w:w="2400"/>
            <w:shd w:fill="EEF1F5" w:val="clear"/>
            <w:tcMar>
              <w:top w:type="dxa" w:w="50"/>
              <w:left w:type="dxa" w:w="90"/>
              <w:bottom w:type="dxa" w:w="50"/>
              <w:right w:type="dxa" w:w="90"/>
            </w:tcMar>
          </w:tcPr>
          <w:p>
            <w:r>
              <w:rPr>
                <w:b/>
                <w:bCs/>
                <w:sz w:val="19"/>
                <w:szCs w:val="19"/>
              </w:rPr>
              <w:t xml:space="preserve">Funding body</w:t>
            </w:r>
          </w:p>
        </w:tc>
        <w:tc>
          <w:tcPr>
            <w:tcW w:type="dxa" w:w="6672"/>
            <w:tcMar>
              <w:top w:type="dxa" w:w="50"/>
              <w:left w:type="dxa" w:w="90"/>
              <w:bottom w:type="dxa" w:w="50"/>
              <w:right w:type="dxa" w:w="90"/>
            </w:tcMar>
          </w:tcPr>
          <w:p>
            <w:r>
              <w:rPr>
                <w:b w:val="false"/>
                <w:bCs w:val="false"/>
                <w:sz w:val="19"/>
                <w:szCs w:val="19"/>
              </w:rPr>
              <w:t xml:space="preserve">DAAD [verify current call, co-funding and conditions before submission]</w:t>
            </w:r>
          </w:p>
        </w:tc>
      </w:tr>
      <w:tr>
        <w:tc>
          <w:tcPr>
            <w:tcW w:type="dxa" w:w="2400"/>
            <w:shd w:fill="EEF1F5" w:val="clear"/>
            <w:tcMar>
              <w:top w:type="dxa" w:w="50"/>
              <w:left w:type="dxa" w:w="90"/>
              <w:bottom w:type="dxa" w:w="50"/>
              <w:right w:type="dxa" w:w="90"/>
            </w:tcMar>
          </w:tcPr>
          <w:p>
            <w:r>
              <w:rPr>
                <w:b/>
                <w:bCs/>
                <w:sz w:val="19"/>
                <w:szCs w:val="19"/>
              </w:rPr>
              <w:t xml:space="preserve">Eligibility</w:t>
            </w:r>
          </w:p>
        </w:tc>
        <w:tc>
          <w:tcPr>
            <w:tcW w:type="dxa" w:w="6672"/>
            <w:tcMar>
              <w:top w:type="dxa" w:w="50"/>
              <w:left w:type="dxa" w:w="90"/>
              <w:bottom w:type="dxa" w:w="50"/>
              <w:right w:type="dxa" w:w="90"/>
            </w:tcMar>
          </w:tcPr>
          <w:p>
            <w:r>
              <w:rPr>
                <w:b w:val="false"/>
                <w:bCs w:val="false"/>
                <w:sz w:val="19"/>
                <w:szCs w:val="19"/>
              </w:rPr>
              <w:t xml:space="preserve">Doctorate completed before funding start; no nationality restriction</w:t>
            </w:r>
          </w:p>
        </w:tc>
      </w:tr>
      <w:tr>
        <w:tc>
          <w:tcPr>
            <w:tcW w:type="dxa" w:w="2400"/>
            <w:shd w:fill="EEF1F5" w:val="clear"/>
            <w:tcMar>
              <w:top w:type="dxa" w:w="50"/>
              <w:left w:type="dxa" w:w="90"/>
              <w:bottom w:type="dxa" w:w="50"/>
              <w:right w:type="dxa" w:w="90"/>
            </w:tcMar>
          </w:tcPr>
          <w:p>
            <w:r>
              <w:rPr>
                <w:b/>
                <w:bCs/>
                <w:sz w:val="19"/>
                <w:szCs w:val="19"/>
              </w:rPr>
              <w:t xml:space="preserve">Application</w:t>
            </w:r>
          </w:p>
        </w:tc>
        <w:tc>
          <w:tcPr>
            <w:tcW w:type="dxa" w:w="6672"/>
            <w:tcMar>
              <w:top w:type="dxa" w:w="50"/>
              <w:left w:type="dxa" w:w="90"/>
              <w:bottom w:type="dxa" w:w="50"/>
              <w:right w:type="dxa" w:w="90"/>
            </w:tcMar>
          </w:tcPr>
          <w:p>
            <w:r>
              <w:rPr>
                <w:b w:val="false"/>
                <w:bCs w:val="false"/>
                <w:sz w:val="19"/>
                <w:szCs w:val="19"/>
              </w:rPr>
              <w:t xml:space="preserve">Annual call, submitted directly to the DAAD [insert current deadline]</w:t>
            </w:r>
          </w:p>
        </w:tc>
      </w:tr>
      <w:tr>
        <w:tc>
          <w:tcPr>
            <w:tcW w:type="dxa" w:w="2400"/>
            <w:shd w:fill="EEF1F5" w:val="clear"/>
            <w:tcMar>
              <w:top w:type="dxa" w:w="50"/>
              <w:left w:type="dxa" w:w="90"/>
              <w:bottom w:type="dxa" w:w="50"/>
              <w:right w:type="dxa" w:w="90"/>
            </w:tcMar>
          </w:tcPr>
          <w:p>
            <w:r>
              <w:rPr>
                <w:b/>
                <w:bCs/>
                <w:sz w:val="19"/>
                <w:szCs w:val="19"/>
              </w:rPr>
              <w:t xml:space="preserve">Special feature</w:t>
            </w:r>
          </w:p>
        </w:tc>
        <w:tc>
          <w:tcPr>
            <w:tcW w:type="dxa" w:w="6672"/>
            <w:tcMar>
              <w:top w:type="dxa" w:w="50"/>
              <w:left w:type="dxa" w:w="90"/>
              <w:bottom w:type="dxa" w:w="50"/>
              <w:right w:type="dxa" w:w="90"/>
            </w:tcMar>
          </w:tcPr>
          <w:p>
            <w:r>
              <w:rPr>
                <w:b w:val="false"/>
                <w:bCs w:val="false"/>
                <w:sz w:val="19"/>
                <w:szCs w:val="19"/>
              </w:rPr>
              <w:t xml:space="preserve">Position instead of stipend – full social security; the reintegration phase is part of the programme</w:t>
            </w:r>
          </w:p>
        </w:tc>
      </w:tr>
    </w:tbl>
    <w:p>
      <w:pPr>
        <w:spacing w:after="120"/>
      </w:pPr>
      <w:r>
        <w:rPr>
          <w:i/>
          <w:iCs/>
          <w:sz w:val="18"/>
          <w:szCs w:val="18"/>
        </w:rPr>
        <w:t xml:space="preserve">Standalone draft proposal for this funding line (status 09.08.2026). Only one of the parallel programme drafts of this folder will be pursued for the research stay – check each funder’s double-funding rules before submission. Materials selection follows the portfolio’s three-criterion evidence logic; all cited references are individually verified against publisher records (see Literaturpruefung_2026-08-09 and Materialscreening_2026-08-09).</w:t>
      </w:r>
    </w:p>
    <w:p>
      <w:pPr>
        <w:pStyle w:val="Heading1"/>
        <w:spacing w:after="120" w:before="240"/>
      </w:pPr>
      <w:r>
        <w:t xml:space="preserve">1  Research question and scientific significance</w:t>
      </w:r>
    </w:p>
    <w:p>
      <w:pPr>
        <w:spacing w:after="120"/>
      </w:pPr>
      <w:r>
        <w:t xml:space="preserve">Memristive devices based on the valence change mechanism (VCM) switch their resistance through field-driven creation and migration of oxygen vacancies (VO) [1–3]. The oxygen-vacancy formation energy (EV) enters all quantitative switching models exponentially [3, 4] – and yet it has never been measured systematically how EV determines the central figures of merit (ON/OFF ratio, forming voltage, retention). Energy research, by contrast, has quantitatively established that EV in perovskites is controlled by the metal–oxygen covalency: the O-2p band centre scales linearly with EV and serves as a descriptor for catalysis and oxygen transport [5–8]. My project connects these two worlds experimentally for the first time – using the ideally suited model series La1-xSrxFeO3-δ (LSFO).</w:t>
      </w:r>
    </w:p>
    <w:p>
      <w:pPr>
        <w:spacing w:after="120"/>
      </w:pPr>
      <w:r>
        <w:t xml:space="preserve">LSFO is the perfect test system: substituting La3+ by Sr2+ lowers EV continuously from about 4 eV (x = 0) to below 1 eV (x = 0.5) [9] – with the SrFeO3 end member similarly reducible [22] – and increases the Fe–O covalency measurably in the O-K pre-edge of X-ray absorption [10, 11] – at unchanged perovskite structure. Both end members are documented switching materials: SrFeO3-δ/SrFeO2.5 switches topotactically – under inert Au/SrRuO3 electrode stacks – with ON/OFF ratios around 104 [12, 13], while LaFeO3, a robust insulator, is only rudimentarily switching-active [14, 23]. For the intermediate compositions, however, not a single memristor study exists – a gap secured by my systematic literature analysis. The closest existing work controls the conductivity of La0.5Sr0.5FeO3-δ electrochemically over four orders of magnitude [15], demonstrating feasibility without answering the memristor question. The few stoichiometry-dependent switching studies on related manganites consistently show a non-monotonic optimum of the switching window with doping [16, 17] – my central hypothesis is therefore that the usable switching window of LSFO is maximal at intermediate covalency (“Goldilocks zone”) and that this position can be predicted from the XAS covalency descriptor. Because switching under inert electrode stacks is already demonstrated at the Sr-rich end, the unexplored intermediate series is an optimisation space rather than a feasibility risk: the project both maps the covalency correlation and optimises the switching window via the Sr content. A known design constraint is addressed head-on: near the Sr-rich end member the switching mechanism changes character (topotactic brownmillerite transition [12, 13]) – the series therefore doubles as a controlled approach to a mechanism boundary, which is itself charted rather than avoided.</w:t>
      </w:r>
    </w:p>
    <w:p>
      <w:pPr>
        <w:spacing w:after="120"/>
      </w:pPr>
      <w:r>
        <w:t xml:space="preserve">Conceptual footing (sharpened after expert feedback, 08/2026): throughout this project, “covalency” is used in the quantitative sense of the charge-transfer/cluster-model framework – charge-transfer energy Δ, on-site Coulomb energy U and transfer integrals, in the Zaanen–Sawatzky–Allen classification [24] and as extracted compound by compound by the configuration-interaction analyses of Fujimori, Bocquet, Saitoh, Sarma and co-workers [25–28]. O-K pre-edge intensities serve as a relative, series-internal hybridisation measure only; their limits as an absolute covalency scale (core-hole effects, ligand-hole distribution, band effects) are treated explicitly [29], and the conflation of hybridisation with covalency that is common in the catalysis-descriptor literature is deliberately avoided – the descriptor scale of this project is calibrated against cluster-model analysis, not against pre-edge intensity alone. System-specific parameter status (re-screening, 09.08.2026): the CI parameter basis of this series is among the strongest of any oxide family – both end members are quantitatively anchored, LaFeO3 with positive Δ and SrFeO3 with negative charge-transfer energy [30], recently reconfirmed by HAXPES (Δ ≈ −1.0 eV) [31], and series spectroscopy with CI anchoring exists [32]; the series thus crosses the sign of Δ, the conceptually richest descriptor axis of the portfolio.</w:t>
      </w:r>
    </w:p>
    <w:p>
      <w:pPr>
        <w:spacing w:after="120"/>
      </w:pPr>
      <w:r>
        <w:t xml:space="preserve">Methodological platform (added 08/2026) – one wafer, one map: beyond discrete samples, the composition series is realised as a single wafer carrying a continuous lateral cation-stoichiometry gradient, grown in continuous-compositional-spread mode [33] on a large-area PLD system of the type I have already used for wafer-scale memristive heterostructures [E3]; combinatorial hardware of this class covers substrates up to four inches [34], and epitaxial perovskite composition spreads are established [35]. Spatially resolved soft XAS turns such a wafer into a continuous covalency map – on-the-fly L-edge mapping of a combinatorial spread with a 0.5 mm beam has recently been demonstrated [36], and beamlines built for automated high-throughput NEXAFS exist for exactly this duty cycle [37] – while automated prober mapping of device arrays along the same gradient track yields the corresponding switching map [38]. With a 0.2–0.5 mm beam footprint on a 50 mm gradient, one wafer carries 100–250 independent composition points; the limiting quantity is the composition calibration map (XRF/WDS), not the beam. The known pitfalls are addressed by design: slit-synchronised scanning decouples composition from thickness [33], cation transfer is fluence- and pO2-sensitive and therefore calibrated per position [39], and structural quality across the wafer is mapped rather than assumed.</w:t>
      </w:r>
    </w:p>
    <w:p>
      <w:pPr>
        <w:spacing w:after="120"/>
      </w:pPr>
      <w:r>
        <w:t xml:space="preserve">The same wafer turns the weakest link of the descriptor chain into a measurement. Equilibrated at a defined oxygen partial pressure and temperature, every position adopts its own non-stoichiometry δ; mapping the transition-metal valence in the same XAS scan yields δ(x; pO2, T), and repeating this across oxidising and reducing conditions gives the reduction enthalpy ΔHred(x) – an experimentally determined vacancy-formation energy measured on the same spots, the same sample and the same growth run as the covalency descriptor. To be precise about what spectroscopy delivers: XAS gives valence, not an absolute oxygen content, so the map is calibrated against anchor points from chemical capacitance [40], chemical expansion (high-temperature XRD) or a reference of known stoichiometry; optical absorption provides a second, fully imageable δ read-out [42]. Thin-film defect chemistry of exactly this type is established for ceria films [40] and for (La,Sr)FeO3-δ films [41], and the composition-dependent reduction enthalpy of the SrTi1-xFexO3-δ solid solution is the natural validation target: if the gradient wafer reproduces that published curve, the method is proven, and only then does the co-located descriptor measurement carry weight. The covalency→EV link, which for most systems currently rests on calculation rather than experiment, thereby becomes a directly measured correlation whose predictive quality can be quantified per composition instead of asserted.</w:t>
      </w:r>
    </w:p>
    <w:p>
      <w:pPr>
        <w:spacing w:after="120"/>
      </w:pPr>
      <w:r>
        <w:t xml:space="preserve">Three constraints are taken seriously from the outset. (i) Detection under gas: total-electron yield collapses above a few mbar; Auger yield through a differentially pumped analyser carries to roughly 25 mbar and windowed fluorescence yield to ambient pressure, the latter at the price of self-absorption corrections at the transition-metal L edges. Ambient-pressure NEXAFS endstations built for this envelope exist and are combined with high-throughput operation [37]. (ii) Surface versus bulk: electron and Auger yield probe only the outer nanometres, precisely where enrichment and reconstruction may occur under high temperature and oxygen pressure, so bulk-sensitive fluorescence yield is recorded alongside and film thicknesses kept small. (iii) Radiation dose: soft-X-ray photoreduction of Ce, Mn, Fe and Co drives the valence in the same direction as the gas-induced reduction under study, so dose series, defocused fast scans and fresh-spot rastering are part of the protocol rather than an afterthought. Where electrochemical δ control is required, it needs an ion-conducting substrate stack and is therefore a deliberate choice for dedicated calibration wafers, not the default of the epitaxial gradient series. An ex-situ equilibrate-quench-measure route remains available as a fallback where δ is frozen in, which is defensible for titanates and manganites and marginal for cobaltites, ceria and YBCO.</w:t>
      </w:r>
    </w:p>
    <w:p>
      <w:pPr>
        <w:spacing w:after="120"/>
      </w:pPr>
      <w:r>
        <w:t xml:space="preserve">Descriptor construction (specified 08/2026): covalency is quantified as the ligand-hole weight w_L of the configuration-interaction ground state - the deviation of the d occupation from the formal valence, set by the charge-transfer energy, the d-d Coulomb energy and the transfer integrals [25, 26] within the Zaanen-Sawatzky-Allen classification [24]. Because O K pre-edge intensity probes unoccupied states whereas w_L is a ground-state quantity, the descriptor is built in three steps. (D1) The pre-edge area normalised per d hole - with the hole count taken from the transition-metal L2,3 fit at the same position rather than from the nominal stoichiometry - is the fast, mappable measure [11], its interpretation limits taken from the O K-edge methodology literature [29]. (D2) At six to ten support points per series, cluster-model analysis of the transition-metal 2p core-level satellites and of the L2,3 multiplets yields the charge-transfer energy, the Coulomb energy and the transfer integrals, and hence w_L itself [26], evaluated with charge-transfer multiplet and Wannier-based multiplet ligand-field codes [43, 44]. (D3) The regression between D1 and D2 converts the fast measure into a cluster-model-anchored covalency across all positions, with propagated uncertainty. Only this calibrated quantity enters the correlation with the vacancy formation energy; a pre-edge intensity on its own is treated as a series-internal relative measure and nothing more. Ambient-pressure endstations that combine core-level photoemission with NEXAFS allow D1 and D2 to be recorded at the same sample position [37], so the calibration is not carried across separate beamtimes. The descriptor is finally held to a model comparison against formal valence, tolerance factor and the uncalibrated pre-edge area; if it does not outperform them, that is reported as the result.</w:t>
      </w:r>
    </w:p>
    <w:p>
      <w:pPr>
        <w:pStyle w:val="Heading1"/>
        <w:spacing w:after="120" w:before="240"/>
      </w:pPr>
      <w:r>
        <w:t xml:space="preserve">2  Programme fit and strategy</w:t>
      </w:r>
    </w:p>
    <w:p>
      <w:pPr>
        <w:spacing w:after="120"/>
      </w:pPr>
      <w:r>
        <w:t xml:space="preserve">PRIME funds the project as an 18-month employment position: a focused 12-month Stanford campaign delivers the descriptor scale and the switching statistics, and the built-in 6-month reintegration phase in Jülich/Aachen is used for correlation analysis, transfer of the XAS protocols to European beamlines and submission of the junior-group proposal (Emmy Noether/ERC) – the return into the German system is part of the programme itself. Fallback within the DAAD portfolio: the classic postdoctoral research grants (stipend-based, up to 12 months) [verify current programme lines].</w:t>
      </w:r>
    </w:p>
    <w:p>
      <w:pPr>
        <w:pStyle w:val="Heading1"/>
        <w:spacing w:after="120" w:before="240"/>
      </w:pPr>
      <w:r>
        <w:t xml:space="preserve">3  Why the Chueh group at Stanford is the ideal place</w:t>
      </w:r>
    </w:p>
    <w:p>
      <w:pPr>
        <w:spacing w:after="120"/>
      </w:pPr>
      <w:r>
        <w:t xml:space="preserve">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perovskite thin films [18–20]. The group’s seminal work on the redox activity of oxygen anions in oxygen-deficient perovskites [19] is a direct methodological blueprint for my project; the Nature Materials study on atomically defined LaNiO3 surfaces [20] – with Christoph Baeumer from the Jülich school as first author – furthermore demonstrates that the group routinely masters epitaxial perovskite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[E1–E3]. The constellation is thus a genuine two-way transfer of knowledge. For complementary epitaxial growth questions, the environment of the Stanford Institute for Materials and Energy Sciences (SIMES) at SLAC is available. [Host choice under review after first-hand feedback (08/2026): the Chueh group’s own perovskite/oxide-redox activities have largely moved on; the relevant lines are continued in alumni groups – C. Baeumer (University of Twente), Q. Lu (Westlake University), J. T. Mefford, D. Chen. If XAS quantification is the methodological core, a host with direct synchrotron access (e.g. PSI/SLS, MAX IV, Diamond, or a beamline-affiliated group) is a serious alternative. Re-validate and, if necessary, rewrite this section before submission.]</w:t>
      </w:r>
    </w:p>
    <w:p>
      <w:pPr>
        <w:pStyle w:val="Heading1"/>
        <w:spacing w:after="120" w:before="240"/>
      </w:pPr>
      <w:r>
        <w:t xml:space="preserve">4  Work programme</w:t>
      </w:r>
    </w:p>
    <w:p>
      <w:pPr>
        <w:spacing w:after="120"/>
      </w:pPr>
      <w:r>
        <w:rPr>
          <w:b/>
          <w:bCs/>
        </w:rPr>
        <w:t xml:space="preserve">WP1 – Synthesis and descriptor measurement of the LSFO series (months 1–8, Stanford)</w:t>
      </w:r>
    </w:p>
    <w:p>
      <w:pPr>
        <w:spacing w:after="120"/>
      </w:pPr>
      <w:r>
        <w:t xml:space="preserve">PLD growth of epitaxial La1-xSrxFeO3-δ films (x = 0; 0.2; 0.33; 0.5; 0.67; 1) on Nb:SrTiO3 substrates in the Stanford/SLAC thin-film laboratories; structural validation (XRD, AFM); determination of cation and oxygen stoichiometry (XPS, RBS where required). In parallel, first XAS campaign at SSRL: O-K pre-edge quantification following the procedure of Suntivich et al. [11] and Fe-L2,3 valence analysis for every composition → experimental covalency scale of the series. Milestone M1 (month 8): validated sample series with complete descriptor set. In parallel with the discrete samples, a gradient wafer of the same system is grown in continuous-compositional-spread mode [33, 34] and calibrated position by position (XRF/WDS composition map, XRR thickness, XRD structural quality); the discrete series remains the backbone of the analysis, the gradient wafer is the throughput accelerator and the carrier of the defect-chemical titration in WP3.</w:t>
      </w:r>
    </w:p>
    <w:p>
      <w:pPr>
        <w:spacing w:after="120"/>
      </w:pPr>
      <w:r>
        <w:rPr>
          <w:b/>
          <w:bCs/>
        </w:rPr>
        <w:t xml:space="preserve">WP2 – Devices and switching characterisation (months 6–12, Stanford)</w:t>
      </w:r>
    </w:p>
    <w:p>
      <w:pPr>
        <w:spacing w:after="120"/>
      </w:pPr>
      <w:r>
        <w:t xml:space="preserve">Processing of identical Pt/LSFO/Nb:SrTiO3 cell arrays (≥ 30 cells per composition) with photolithographic patterning; quasistatic and pulsed switching characterisation following the statistics protocol established in my doctorate (ON/OFF at defined read-out voltage, forming requirement, switching kinetics, temperature-accelerated retention, endurance). Milestone M2 (month 12): switching figures of merit as a function of x with robust statistics. The second SSRL campaign (XAS on switched cells) is scheduled in months 10–12, before the return to Germany.</w:t>
      </w:r>
    </w:p>
    <w:p>
      <w:pPr>
        <w:spacing w:after="120"/>
      </w:pPr>
      <w:r>
        <w:rPr>
          <w:b/>
          <w:bCs/>
        </w:rPr>
        <w:t xml:space="preserve">WP3 – Correlation, transfer and group proposal (months 13–18, Germany)</w:t>
      </w:r>
    </w:p>
    <w:p>
      <w:pPr>
        <w:spacing w:after="120"/>
      </w:pPr>
      <w:r>
        <w:t xml:space="preserve">Reintegration phase at the German host [RWTH Aachen / FZ Jülich]: correlation analysis covalency (XAS) ↔ EV ↔ switching metrics on the complete dataset, including the reduction enthalpy per composition obtained from the gradient-wafer gas titration; transfer of the XAS protocols to European beamlines (BESSY II/PETRA III) including a first beamtime proposal; publication of the covalency-resolved device study and FAIR dataset release; submission of the junior-group proposal. Milestone M3 (month 18): submitted publication(s), public dataset, submitted group proposal.</w:t>
      </w:r>
    </w:p>
    <w:p>
      <w:pPr>
        <w:pStyle w:val="Heading1"/>
        <w:spacing w:after="120" w:before="240"/>
      </w:pPr>
      <w:r>
        <w:t xml:space="preserve">5  Timeline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372"/>
        <w:gridCol w:w="950"/>
        <w:gridCol w:w="950"/>
        <w:gridCol w:w="950"/>
        <w:gridCol w:w="950"/>
        <w:gridCol w:w="950"/>
        <w:gridCol w:w="950"/>
      </w:tblGrid>
      <w:tr>
        <w:tc>
          <w:tcPr>
            <w:tcW w:type="dxa" w:w="3372"/>
            <w:shd w:fill="EEF1F5" w:val="clear"/>
            <w:tcMar>
              <w:top w:type="dxa" w:w="50"/>
              <w:left w:type="dxa" w:w="90"/>
              <w:bottom w:type="dxa" w:w="50"/>
              <w:right w:type="dxa" w:w="90"/>
            </w:tcMar>
          </w:tcPr>
          <w:p>
            <w:r>
              <w:rPr>
                <w:b/>
                <w:bCs/>
                <w:sz w:val="19"/>
                <w:szCs w:val="19"/>
              </w:rPr>
              <w:t xml:space="preserve">Work package</w:t>
            </w:r>
          </w:p>
        </w:tc>
        <w:tc>
          <w:tcPr>
            <w:tcW w:type="dxa" w:w="950"/>
            <w:shd w:fill="EEF1F5" w:val="clear"/>
            <w:tcMar>
              <w:top w:type="dxa" w:w="50"/>
              <w:left w:type="dxa" w:w="90"/>
              <w:bottom w:type="dxa" w:w="50"/>
              <w:right w:type="dxa" w:w="90"/>
            </w:tcMar>
          </w:tcPr>
          <w:p>
            <w:r>
              <w:rPr>
                <w:b/>
                <w:bCs/>
                <w:sz w:val="19"/>
                <w:szCs w:val="19"/>
              </w:rPr>
              <w:t xml:space="preserve">Q1</w:t>
            </w:r>
          </w:p>
        </w:tc>
        <w:tc>
          <w:tcPr>
            <w:tcW w:type="dxa" w:w="950"/>
            <w:shd w:fill="EEF1F5" w:val="clear"/>
            <w:tcMar>
              <w:top w:type="dxa" w:w="50"/>
              <w:left w:type="dxa" w:w="90"/>
              <w:bottom w:type="dxa" w:w="50"/>
              <w:right w:type="dxa" w:w="90"/>
            </w:tcMar>
          </w:tcPr>
          <w:p>
            <w:r>
              <w:rPr>
                <w:b/>
                <w:bCs/>
                <w:sz w:val="19"/>
                <w:szCs w:val="19"/>
              </w:rPr>
              <w:t xml:space="preserve">Q2</w:t>
            </w:r>
          </w:p>
        </w:tc>
        <w:tc>
          <w:tcPr>
            <w:tcW w:type="dxa" w:w="950"/>
            <w:shd w:fill="EEF1F5" w:val="clear"/>
            <w:tcMar>
              <w:top w:type="dxa" w:w="50"/>
              <w:left w:type="dxa" w:w="90"/>
              <w:bottom w:type="dxa" w:w="50"/>
              <w:right w:type="dxa" w:w="90"/>
            </w:tcMar>
          </w:tcPr>
          <w:p>
            <w:r>
              <w:rPr>
                <w:b/>
                <w:bCs/>
                <w:sz w:val="19"/>
                <w:szCs w:val="19"/>
              </w:rPr>
              <w:t xml:space="preserve">Q3</w:t>
            </w:r>
          </w:p>
        </w:tc>
        <w:tc>
          <w:tcPr>
            <w:tcW w:type="dxa" w:w="950"/>
            <w:shd w:fill="EEF1F5" w:val="clear"/>
            <w:tcMar>
              <w:top w:type="dxa" w:w="50"/>
              <w:left w:type="dxa" w:w="90"/>
              <w:bottom w:type="dxa" w:w="50"/>
              <w:right w:type="dxa" w:w="90"/>
            </w:tcMar>
          </w:tcPr>
          <w:p>
            <w:r>
              <w:rPr>
                <w:b/>
                <w:bCs/>
                <w:sz w:val="19"/>
                <w:szCs w:val="19"/>
              </w:rPr>
              <w:t xml:space="preserve">Q4</w:t>
            </w:r>
          </w:p>
        </w:tc>
        <w:tc>
          <w:tcPr>
            <w:tcW w:type="dxa" w:w="950"/>
            <w:shd w:fill="EEF1F5" w:val="clear"/>
            <w:tcMar>
              <w:top w:type="dxa" w:w="50"/>
              <w:left w:type="dxa" w:w="90"/>
              <w:bottom w:type="dxa" w:w="50"/>
              <w:right w:type="dxa" w:w="90"/>
            </w:tcMar>
          </w:tcPr>
          <w:p>
            <w:r>
              <w:rPr>
                <w:b/>
                <w:bCs/>
                <w:sz w:val="19"/>
                <w:szCs w:val="19"/>
              </w:rPr>
              <w:t xml:space="preserve">Q5</w:t>
            </w:r>
          </w:p>
        </w:tc>
        <w:tc>
          <w:tcPr>
            <w:tcW w:type="dxa" w:w="950"/>
            <w:shd w:fill="EEF1F5" w:val="clear"/>
            <w:tcMar>
              <w:top w:type="dxa" w:w="50"/>
              <w:left w:type="dxa" w:w="90"/>
              <w:bottom w:type="dxa" w:w="50"/>
              <w:right w:type="dxa" w:w="90"/>
            </w:tcMar>
          </w:tcPr>
          <w:p>
            <w:r>
              <w:rPr>
                <w:b/>
                <w:bCs/>
                <w:sz w:val="19"/>
                <w:szCs w:val="19"/>
              </w:rPr>
              <w:t xml:space="preserve">Q6</w:t>
            </w:r>
          </w:p>
        </w:tc>
      </w:tr>
      <w:tr>
        <w:tc>
          <w:tcPr>
            <w:tcW w:type="dxa" w:w="3372"/>
            <w:tcMar>
              <w:top w:type="dxa" w:w="50"/>
              <w:left w:type="dxa" w:w="90"/>
              <w:bottom w:type="dxa" w:w="50"/>
              <w:right w:type="dxa" w:w="90"/>
            </w:tcMar>
          </w:tcPr>
          <w:p>
            <w:r>
              <w:rPr>
                <w:b w:val="false"/>
                <w:bCs w:val="false"/>
                <w:sz w:val="19"/>
                <w:szCs w:val="19"/>
              </w:rPr>
              <w:t xml:space="preserve">WP1 Synthesis + XAS descriptors</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r>
      <w:tr>
        <w:tc>
          <w:tcPr>
            <w:tcW w:type="dxa" w:w="3372"/>
            <w:tcMar>
              <w:top w:type="dxa" w:w="50"/>
              <w:left w:type="dxa" w:w="90"/>
              <w:bottom w:type="dxa" w:w="50"/>
              <w:right w:type="dxa" w:w="90"/>
            </w:tcMar>
          </w:tcPr>
          <w:p>
            <w:r>
              <w:rPr>
                <w:b w:val="false"/>
                <w:bCs w:val="false"/>
                <w:sz w:val="19"/>
                <w:szCs w:val="19"/>
              </w:rPr>
              <w:t xml:space="preserve">WP2 Devices + switching statistics</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r>
      <w:tr>
        <w:tc>
          <w:tcPr>
            <w:tcW w:type="dxa" w:w="3372"/>
            <w:tcMar>
              <w:top w:type="dxa" w:w="50"/>
              <w:left w:type="dxa" w:w="90"/>
              <w:bottom w:type="dxa" w:w="50"/>
              <w:right w:type="dxa" w:w="90"/>
            </w:tcMar>
          </w:tcPr>
          <w:p>
            <w:r>
              <w:rPr>
                <w:b w:val="false"/>
                <w:bCs w:val="false"/>
                <w:sz w:val="19"/>
                <w:szCs w:val="19"/>
              </w:rPr>
              <w:t xml:space="preserve">WP3 Correlation + transfer + group proposal (DE)</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r>
    </w:tbl>
    <w:p>
      <w:pPr>
        <w:pStyle w:val="Heading1"/>
        <w:spacing w:after="120" w:before="240"/>
      </w:pPr>
      <w:r>
        <w:t xml:space="preserve">6  Career perspective</w:t>
      </w:r>
    </w:p>
    <w:p>
      <w:pPr>
        <w:spacing w:after="120"/>
      </w:pPr>
      <w:r>
        <w:t xml:space="preserve">The project is the building block between the applicant’s doctorate (memristive devices, PLD, switching statistics) and the goal of an own junior research group in Germany on descriptor-based materials development for memristive oxides (Emmy Noether proposal in preparation; ERC Starting Grant as an alternative). PRIME makes the return part of the funding itself: the reintegration phase at the German host is used to anchor the methodology in the Jülich/Aachen environment (JARA) and to submit the group proposal. The choice of LSFO is deliberate: the series with the largest documented EV span and switching-proven end members becomes the first covalency-resolved composition series of the planned group programme. The Stanford/SSRL collaboration will be continued as the transatlantic bridge of the future group.</w:t>
      </w:r>
    </w:p>
    <w:p>
      <w:pPr>
        <w:pStyle w:val="Heading1"/>
        <w:spacing w:after="120" w:before="240"/>
      </w:pPr>
      <w:r>
        <w:t xml:space="preserve">7  References</w:t>
      </w:r>
    </w:p>
    <w:p>
      <w:pPr>
        <w:spacing w:after="120"/>
      </w:pPr>
      <w:r>
        <w:rPr>
          <w:sz w:val="18"/>
          <w:szCs w:val="18"/>
        </w:rPr>
        <w:t xml:space="preserve">[1] R. Waser, M. Aono, Nanoionics-based resistive switching memories. Nature Materials 6, 833–840 (2007).</w:t>
      </w:r>
    </w:p>
    <w:p>
      <w:pPr>
        <w:spacing w:after="120"/>
      </w:pPr>
      <w:r>
        <w:rPr>
          <w:sz w:val="18"/>
          <w:szCs w:val="18"/>
        </w:rPr>
        <w:t xml:space="preserve">[2] R. Waser, R. Dittmann, G. Staikov, K. Szot, Redox-Based Resistive Switching Memories – Nanoionic Mechanisms, Prospects, and Challenges. Advanced Materials 21, 2632–2663 (2009).</w:t>
      </w:r>
    </w:p>
    <w:p>
      <w:pPr>
        <w:spacing w:after="120"/>
      </w:pPr>
      <w:r>
        <w:rPr>
          <w:sz w:val="18"/>
          <w:szCs w:val="18"/>
        </w:rPr>
        <w:t xml:space="preserve">[3] R. Dittmann, S. Menzel, R. Waser, Nanoionic memristive phenomena in metal oxides: the valence change mechanism. Advances in Physics 70, 155–349 (2021).</w:t>
      </w:r>
    </w:p>
    <w:p>
      <w:pPr>
        <w:spacing w:after="120"/>
      </w:pPr>
      <w:r>
        <w:rPr>
          <w:sz w:val="18"/>
          <w:szCs w:val="18"/>
        </w:rPr>
        <w:t xml:space="preserve">[4] S. Menzel, M. Waters, A. Marchewka, U. Böttger, R. Dittmann, R. Waser, Origin of the Ultra-nonlinear Switching Kinetics in Oxide-Based Resistive Switches. Advanced Functional Materials 21, 4487–4492 (2011).</w:t>
      </w:r>
    </w:p>
    <w:p>
      <w:pPr>
        <w:spacing w:after="120"/>
      </w:pPr>
      <w:r>
        <w:rPr>
          <w:sz w:val="18"/>
          <w:szCs w:val="18"/>
        </w:rPr>
        <w:t xml:space="preserve">[5] Y.-L. Lee, J. Kleis, J. Rossmeisl, Y. Shao-Horn, D. Morgan, Prediction of solid oxide fuel cell cathode activity with first-principles descriptors. Energy &amp; Environmental Science 4, 3966–3970 (2011).</w:t>
      </w:r>
    </w:p>
    <w:p>
      <w:pPr>
        <w:spacing w:after="120"/>
      </w:pPr>
      <w:r>
        <w:rPr>
          <w:sz w:val="18"/>
          <w:szCs w:val="18"/>
        </w:rPr>
        <w:t xml:space="preserve">[6] R. Jacobs, J. Hwang, Y. Shao-Horn, D. Morgan, Assessing Correlations of Perovskite Catalytic Performance with Electronic Structure Descriptors. Chemistry of Materials 31, 785–797 (2019).</w:t>
      </w:r>
    </w:p>
    <w:p>
      <w:pPr>
        <w:spacing w:after="120"/>
      </w:pPr>
      <w:r>
        <w:rPr>
          <w:sz w:val="18"/>
          <w:szCs w:val="18"/>
        </w:rPr>
        <w:t xml:space="preserve">[7] A. M. Deml, V. Stevanović, C. L. Muhich, C. B. Musgrave, R. O’Hayre, Oxide enthalpy of formation and band gap energy as accurate descriptors of oxygen vacancy formation energetics. Energy &amp; Environmental Science 7, 1996–2004 (2014).</w:t>
      </w:r>
    </w:p>
    <w:p>
      <w:pPr>
        <w:spacing w:after="120"/>
      </w:pPr>
      <w:r>
        <w:rPr>
          <w:sz w:val="18"/>
          <w:szCs w:val="18"/>
        </w:rPr>
        <w:t xml:space="preserve">[8] R. B. Wexler, G. Sai Gautam, E. B. Stechel, E. A. Carter, Factors Governing Oxygen Vacancy Formation in Oxide Perovskites. Journal of the American Chemical Society 143, 13212–13227 (2021).</w:t>
      </w:r>
    </w:p>
    <w:p>
      <w:pPr>
        <w:spacing w:after="120"/>
      </w:pPr>
      <w:r>
        <w:rPr>
          <w:sz w:val="18"/>
          <w:szCs w:val="18"/>
        </w:rPr>
        <w:t xml:space="preserve">[9] A. M. Ritzmann, A. B. Muñoz-García, M. Pavone, J. A. Keith, E. A. Carter, Ab Initio DFT+U Analysis of Oxygen Vacancy Formation and Migration in La1-xSrxFeO3-δ (x = 0, 0.25, 0.50). Chemistry of Materials 25, 3011–3019 (2013).</w:t>
      </w:r>
    </w:p>
    <w:p>
      <w:pPr>
        <w:spacing w:after="120"/>
      </w:pPr>
      <w:r>
        <w:rPr>
          <w:sz w:val="18"/>
          <w:szCs w:val="18"/>
        </w:rPr>
        <w:t xml:space="preserve">[10] M. Abbate et al., Controlled-valence properties of La1-xSrxFeO3 and La1-xSrxMnO3 studied by soft-x-ray absorption spectroscopy. Physical Review B 46, 4511–4519 (1992).</w:t>
      </w:r>
    </w:p>
    <w:p>
      <w:pPr>
        <w:spacing w:after="120"/>
      </w:pPr>
      <w:r>
        <w:rPr>
          <w:sz w:val="18"/>
          <w:szCs w:val="18"/>
        </w:rPr>
        <w:t xml:space="preserve">[11] J. Suntivich et al., Estimating Hybridization of Transition Metal and Oxygen States in Perovskites from O K-edge X-ray Absorption Spectroscopy. Journal of Physical Chemistry C 118, 1856–1863 (2014).</w:t>
      </w:r>
    </w:p>
    <w:p>
      <w:pPr>
        <w:spacing w:after="120"/>
      </w:pPr>
      <w:r>
        <w:rPr>
          <w:sz w:val="18"/>
          <w:szCs w:val="18"/>
        </w:rPr>
        <w:t xml:space="preserve">[12] V. R. Nallagatla et al., Topotactic Phase Transition Driving Memristive Behavior (SrFeO2.5/SrFeO3). Advanced Materials 31, 1903391 (2019).</w:t>
      </w:r>
    </w:p>
    <w:p>
      <w:pPr>
        <w:spacing w:after="120"/>
      </w:pPr>
      <w:r>
        <w:rPr>
          <w:sz w:val="18"/>
          <w:szCs w:val="18"/>
        </w:rPr>
        <w:t xml:space="preserve">[13] J. Tian et al., Nanoscale Topotactic Phase Transformation in SrFeOx Epitaxial Thin Films for High-Density Resistive Switching Memory. Advanced Materials 31, 1903679 (2019).</w:t>
      </w:r>
    </w:p>
    <w:p>
      <w:pPr>
        <w:spacing w:after="120"/>
      </w:pPr>
      <w:r>
        <w:rPr>
          <w:sz w:val="18"/>
          <w:szCs w:val="18"/>
        </w:rPr>
        <w:t xml:space="preserve">[14] R. K. Aljurays, A. Loucif, A. M. Albadri, Synthesis of LaXO3 (X = Fe, Mn, Cr, Ni) Thin Films Using a Simple Spin Coating Set-Up for Resistive Switching Memory Devices. Electronics 12, 4141 (2023).</w:t>
      </w:r>
    </w:p>
    <w:p>
      <w:pPr>
        <w:spacing w:after="120"/>
      </w:pPr>
      <w:r>
        <w:rPr>
          <w:sz w:val="18"/>
          <w:szCs w:val="18"/>
        </w:rPr>
        <w:t xml:space="preserve">[15] P. Nizet et al., Analog control of La0.5Sr0.5FeO3-δ electrical properties through oxygen deficiency induced magnetic transition. Applied Physics Reviews 11, 041426 (2024).</w:t>
      </w:r>
    </w:p>
    <w:p>
      <w:pPr>
        <w:spacing w:after="120"/>
      </w:pPr>
      <w:r>
        <w:rPr>
          <w:sz w:val="18"/>
          <w:szCs w:val="18"/>
        </w:rPr>
        <w:t xml:space="preserve">[16] S. Asanuma, H. Akoh, H. Yamada, A. Sawa, Relationship between resistive switching characteristics and band diagrams of Ti/Pr1-xCaxMnO3 junctions. Physical Review B 80, 235113 (2009).</w:t>
      </w:r>
    </w:p>
    <w:p>
      <w:pPr>
        <w:spacing w:after="120"/>
      </w:pPr>
      <w:r>
        <w:rPr>
          <w:sz w:val="18"/>
          <w:szCs w:val="18"/>
        </w:rPr>
        <w:t xml:space="preserve">[17] V. Lähteenlahti, A. Schulman, A. Beiranvand, H. Huhtinen, P. Paturi, Electron Doping Effect in the Resistive Switching Properties of Al/Gd1-xCaxMnO3/Au Memristor Devices. ACS Applied Materials &amp; Interfaces 13, 18365–18371 (2021).</w:t>
      </w:r>
    </w:p>
    <w:p>
      <w:pPr>
        <w:spacing w:after="120"/>
      </w:pPr>
      <w:r>
        <w:rPr>
          <w:sz w:val="18"/>
          <w:szCs w:val="18"/>
        </w:rPr>
        <w:t xml:space="preserve">[18] W. C. Chueh, C. Falter, M. Abbott, D. Scipio, P. Furler, S. M. Haile, A. Steinfeld, High-Flux Solar-Driven Thermochemical Dissociation of CO2 and H2O Using Nonstoichiometric Ceria. Science 330, 1797–1801 (2010).</w:t>
      </w:r>
    </w:p>
    <w:p>
      <w:pPr>
        <w:spacing w:after="120"/>
      </w:pPr>
      <w:r>
        <w:rPr>
          <w:sz w:val="18"/>
          <w:szCs w:val="18"/>
        </w:rPr>
        <w:t xml:space="preserve">[19] D. N. Mueller, M. L. Machala, H. Bluhm, W. C. Chueh, Redox activity of surface oxygen anions in oxygen-deficient perovskite oxides during electrochemical reactions. Nature Communications 6, 6097 (2015).</w:t>
      </w:r>
    </w:p>
    <w:p>
      <w:pPr>
        <w:spacing w:after="120"/>
      </w:pPr>
      <w:r>
        <w:rPr>
          <w:sz w:val="18"/>
          <w:szCs w:val="18"/>
        </w:rPr>
        <w:t xml:space="preserve">[20] C. Baeumer, J. Li, Q. Lu et al. (with W. C. Chueh), Tuning electrochemically driven surface transformation in atomically flat LaNiO3 thin films for enhanced water electrolysis. Nature Materials 20, 674–682 (2021).</w:t>
      </w:r>
    </w:p>
    <w:p>
      <w:pPr>
        <w:spacing w:after="120"/>
      </w:pPr>
      <w:r>
        <w:rPr>
          <w:sz w:val="18"/>
          <w:szCs w:val="18"/>
        </w:rPr>
        <w:t xml:space="preserve">[21] M. Wuttig et al., Revisiting the Nature of Chemical Bonding in Chalcogenides to Explain and Design their Properties. Advanced Materials 35, 2208485 (2023).</w:t>
      </w:r>
    </w:p>
    <w:p>
      <w:pPr>
        <w:spacing w:after="120"/>
      </w:pPr>
      <w:r>
        <w:rPr>
          <w:sz w:val="18"/>
          <w:szCs w:val="18"/>
        </w:rPr>
        <w:t xml:space="preserve">[22] J. A. Santana, J. T. Krogel, P. R. C. Kent, F. A. Reboredo, Diffusion quantum Monte Carlo calculations of SrFeO3 and LaFeO3. The Journal of Chemical Physics 147, 034701 (2017).</w:t>
      </w:r>
    </w:p>
    <w:p>
      <w:pPr>
        <w:spacing w:after="120"/>
      </w:pPr>
      <w:r>
        <w:rPr>
          <w:sz w:val="18"/>
          <w:szCs w:val="18"/>
        </w:rPr>
        <w:t xml:space="preserve">[23] C. Song, H. Luo, J. Xu, Y. Song, Q. Hu, Density functional theory study on conduction mechanisms in LaFeO3 nanofibers for resistive random access memory. Ionics 32, 2427–2437 (2026).</w:t>
      </w:r>
    </w:p>
    <w:p>
      <w:pPr>
        <w:spacing w:after="120"/>
      </w:pPr>
      <w:r>
        <w:rPr>
          <w:sz w:val="18"/>
          <w:szCs w:val="18"/>
        </w:rPr>
        <w:t xml:space="preserve">[24] J. Zaanen, G. A. Sawatzky, J. W. Allen, Band gaps and electronic structure of transition-metal compounds. Physical Review Letters 55, 418–421 (1985).</w:t>
      </w:r>
    </w:p>
    <w:p>
      <w:pPr>
        <w:spacing w:after="120"/>
      </w:pPr>
      <w:r>
        <w:rPr>
          <w:sz w:val="18"/>
          <w:szCs w:val="18"/>
        </w:rPr>
        <w:t xml:space="preserve">[25] A. Fujimori, F. Minami, Valence-band photoemission and optical absorption in nickel compounds. Physical Review B 30, 957–971 (1984).</w:t>
      </w:r>
    </w:p>
    <w:p>
      <w:pPr>
        <w:spacing w:after="120"/>
      </w:pPr>
      <w:r>
        <w:rPr>
          <w:sz w:val="18"/>
          <w:szCs w:val="18"/>
        </w:rPr>
        <w:t xml:space="preserve">[26] A. E. Bocquet, T. Mizokawa, T. Saitoh, H. Namatame, A. Fujimori, Electronic structure of 3d-transition-metal compounds by analysis of the 2p core-level photoemission spectra. Physical Review B 46, 3771–3784 (1992).</w:t>
      </w:r>
    </w:p>
    <w:p>
      <w:pPr>
        <w:spacing w:after="120"/>
      </w:pPr>
      <w:r>
        <w:rPr>
          <w:sz w:val="18"/>
          <w:szCs w:val="18"/>
        </w:rPr>
        <w:t xml:space="preserve">[27] T. Saitoh, A. E. Bocquet, T. Mizokawa, A. Fujimori, Systematic variation of the electronic structure of 3d transition-metal compounds. Physical Review B 52, 7934–7938 (1995).</w:t>
      </w:r>
    </w:p>
    <w:p>
      <w:pPr>
        <w:spacing w:after="120"/>
      </w:pPr>
      <w:r>
        <w:rPr>
          <w:sz w:val="18"/>
          <w:szCs w:val="18"/>
        </w:rPr>
        <w:t xml:space="preserve">[28] S. Nimkar, D. D. Sarma, H. R. Krishnamurthy, S. Ramasesha, Mean-field results of the multiple-band extended Hubbard model for the square-planar CuO2 lattice. Physical Review B 48, 7355–7363 (1993).</w:t>
      </w:r>
    </w:p>
    <w:p>
      <w:pPr>
        <w:spacing w:after="120"/>
      </w:pPr>
      <w:r>
        <w:rPr>
          <w:sz w:val="18"/>
          <w:szCs w:val="18"/>
        </w:rPr>
        <w:t xml:space="preserve">[29] F. M. F. de Groot, X-ray absorption and dichroism of transition metals and their compounds. Journal of Electron Spectroscopy and Related Phenomena 67, 529–622 (1994).</w:t>
      </w:r>
    </w:p>
    <w:p>
      <w:pPr>
        <w:spacing w:after="120"/>
      </w:pPr>
      <w:r>
        <w:rPr>
          <w:sz w:val="18"/>
          <w:szCs w:val="18"/>
        </w:rPr>
        <w:t xml:space="preserve">[30] A. E. Bocquet, A. Fujimori, T. Mizokawa, T. Saitoh, H. Namatame, S. Suga, N. Kimizuka, Y. Takeda, M. Takano, Electronic structure of SrFe4+O3 and related Fe perovskite oxides. Physical Review B 45, 1561–1570 (1992).</w:t>
      </w:r>
    </w:p>
    <w:p>
      <w:pPr>
        <w:spacing w:after="120"/>
      </w:pPr>
      <w:r>
        <w:rPr>
          <w:sz w:val="18"/>
          <w:szCs w:val="18"/>
        </w:rPr>
        <w:t xml:space="preserve">[31] D. Takegami et al., Negative charge-transfer energy in SrFeO3 revisited with hard x-ray photoemission spectroscopy. Physical Review B 109, 235138 (2024).</w:t>
      </w:r>
    </w:p>
    <w:p>
      <w:pPr>
        <w:spacing w:after="120"/>
      </w:pPr>
      <w:r>
        <w:rPr>
          <w:sz w:val="18"/>
          <w:szCs w:val="18"/>
        </w:rPr>
        <w:t xml:space="preserve">[32] H. Wadati et al., Hole-doping-induced changes in the electronic structure of La1-xSrxFeO3: soft x-ray photoemission and absorption study of epitaxial thin films. Physical Review B 71, 035108 (2005).</w:t>
      </w:r>
    </w:p>
    <w:p>
      <w:pPr>
        <w:spacing w:after="120"/>
      </w:pPr>
      <w:r>
        <w:rPr>
          <w:sz w:val="18"/>
          <w:szCs w:val="18"/>
        </w:rPr>
        <w:t xml:space="preserve">[33] H. M. Christen, C. M. Rouleau, I. Ohkubo, H. Y. Zhai, H. N. Lee, S. Sathyamurthy, D. H. Lowndes, An improved continuous compositional-spread technique based on pulsed-laser deposition and applicable to large substrate areas. Review of Scientific Instruments 74, 4058–4062 (2003).</w:t>
      </w:r>
    </w:p>
    <w:p>
      <w:pPr>
        <w:spacing w:after="120"/>
      </w:pPr>
      <w:r>
        <w:rPr>
          <w:sz w:val="18"/>
          <w:szCs w:val="18"/>
        </w:rPr>
        <w:t xml:space="preserve">[34] M. Lorenz, H. Hochmuth, H. von Wenckstern, M. Grundmann, Flexible hardware concept of pulsed laser deposition for large areas and combinatorial composition spreads. Review of Scientific Instruments 94, 083905 (2023).</w:t>
      </w:r>
    </w:p>
    <w:p>
      <w:pPr>
        <w:spacing w:after="120"/>
      </w:pPr>
      <w:r>
        <w:rPr>
          <w:sz w:val="18"/>
          <w:szCs w:val="18"/>
        </w:rPr>
        <w:t xml:space="preserve">[35] A. Venimadhav, K. A. Yates, M. G. Blamire, Scanning Raman Spectroscopy for Characterizing Compositionally Spread Films. Journal of Combinatorial Chemistry 7, 85–89 (2005).</w:t>
      </w:r>
    </w:p>
    <w:p>
      <w:pPr>
        <w:spacing w:after="120"/>
      </w:pPr>
      <w:r>
        <w:rPr>
          <w:sz w:val="18"/>
          <w:szCs w:val="18"/>
        </w:rPr>
        <w:t xml:space="preserve">[36] Y. Yamasaki, N. Sasabe, Y. Ishii, Y. Sekiguchi, A. Sumiyoshiya, Y. Tanimoto, Y. Kotani, T. Nakamura, H. Nomura, High-throughput mapping of magnetic properties via the on-the-fly XMCD spectroscopy in a combinatorial Fe-Co-Ni film. Science and Technology of Advanced Materials: Methods 5, 2544528 (2025). [volume/article number from a single source – verify before submission]</w:t>
      </w:r>
    </w:p>
    <w:p>
      <w:pPr>
        <w:spacing w:after="120"/>
      </w:pPr>
      <w:r>
        <w:rPr>
          <w:sz w:val="18"/>
          <w:szCs w:val="18"/>
        </w:rPr>
        <w:t xml:space="preserve">[37] D. C. Grinter, P. Ferrer, F. Venturini, M. A. van Spronsen, A. I. Large et al., VerSoX B07-B: a high-throughput XPS and ambient pressure NEXAFS beamline at Diamond Light Source. Journal of Synchrotron Radiation 31, 578–589 (2024).</w:t>
      </w:r>
    </w:p>
    <w:p>
      <w:pPr>
        <w:spacing w:after="120"/>
      </w:pPr>
      <w:r>
        <w:rPr>
          <w:sz w:val="18"/>
          <w:szCs w:val="18"/>
        </w:rPr>
        <w:t xml:space="preserve">[38] M. Tang, L. Dai, M. Cheng, Y. Zhang, Y. Wang et al., High-Throughput Screening Thickness-Dependent Resistive Switching in SrTiO3 Thin Films for Robust Electronic Synapse. Advanced Functional Materials 33, 2213874 (2023).</w:t>
      </w:r>
    </w:p>
    <w:p>
      <w:pPr>
        <w:spacing w:after="120"/>
      </w:pPr>
      <w:r>
        <w:rPr>
          <w:sz w:val="18"/>
          <w:szCs w:val="18"/>
        </w:rPr>
        <w:t xml:space="preserve">[39] S. Wicklein, A. Sambri, S. Amoruso, X. Wang, R. Bruzzese, A. Koehl, R. Dittmann, Pulsed laser ablation of complex oxides: The role of congruent ablation and preferential scattering for the film stoichiometry. Applied Physics Letters 101, 131601 (2012).</w:t>
      </w:r>
    </w:p>
    <w:p>
      <w:pPr>
        <w:spacing w:after="120"/>
      </w:pPr>
      <w:r>
        <w:rPr>
          <w:sz w:val="18"/>
          <w:szCs w:val="18"/>
        </w:rPr>
        <w:t xml:space="preserve">[40] W. C. Chueh, S. M. Haile, Electrochemical studies of capacitance in cerium oxide thin films and its relationship to anionic and electronic defect densities. Physical Chemistry Chemical Physics 11, 8144–8148 (2009).</w:t>
      </w:r>
    </w:p>
    <w:p>
      <w:pPr>
        <w:spacing w:after="120"/>
      </w:pPr>
      <w:r>
        <w:rPr>
          <w:sz w:val="18"/>
          <w:szCs w:val="18"/>
        </w:rPr>
        <w:t xml:space="preserve">[41] A. Schmid, G. M. Rupp, J. Fleig, Voltage and partial pressure dependent defect chemistry in (La,Sr)FeO3-δ thin films investigated by chemical capacitance measurements. Physical Chemistry Chemical Physics 20, 12016–12026 (2018).</w:t>
      </w:r>
    </w:p>
    <w:p>
      <w:pPr>
        <w:spacing w:after="120"/>
      </w:pPr>
      <w:r>
        <w:rPr>
          <w:sz w:val="18"/>
          <w:szCs w:val="18"/>
        </w:rPr>
        <w:t xml:space="preserve">[42] J. J. Kim, S. R. Bishop, N. J. Thompson, H. L. Tuller, Investigation of Nonstoichiometry in Oxide Thin Films by Simultaneous in Situ Optical Absorption and Chemical Capacitance Measurements: Pr-Doped Ceria, a Case Study. Chemistry of Materials 26, 1374–1379 (2014).</w:t>
      </w:r>
    </w:p>
    <w:p>
      <w:pPr>
        <w:spacing w:after="120"/>
      </w:pPr>
      <w:r>
        <w:rPr>
          <w:sz w:val="18"/>
          <w:szCs w:val="18"/>
        </w:rPr>
        <w:t xml:space="preserve">[43] E. Stavitski, F. M. F. de Groot, The CTM4XAS program for EELS and XAS spectral shape analysis of transition metal L edges. Micron 41, 687-694 (2010).</w:t>
      </w:r>
    </w:p>
    <w:p>
      <w:pPr>
        <w:spacing w:after="120"/>
      </w:pPr>
      <w:r>
        <w:rPr>
          <w:sz w:val="18"/>
          <w:szCs w:val="18"/>
        </w:rPr>
        <w:t xml:space="preserve">[44] M. W. Haverkort, M. Zwierzycki, O. K. Andersen, Multiplet ligand-field theory using Wannier orbitals. Physical Review B 85, 165113 (2012).</w:t>
      </w:r>
    </w:p>
    <w:p>
      <w:pPr>
        <w:spacing w:after="120"/>
      </w:pPr>
      <w:r>
        <w:rPr>
          <w:sz w:val="18"/>
          <w:szCs w:val="18"/>
        </w:rPr>
        <w:t xml:space="preserve">[E1] M. Buczek et al., Amorphous, Highly Conductive Pr0.7Ca0.3MnO3 for Area-Dependent Resistive Switching Devices. Advanced Electronic Materials (2026, accepted).</w:t>
      </w:r>
    </w:p>
    <w:p>
      <w:pPr>
        <w:spacing w:after="120"/>
      </w:pPr>
      <w:r>
        <w:rPr>
          <w:sz w:val="18"/>
          <w:szCs w:val="18"/>
        </w:rPr>
        <w:t xml:space="preserve">[E2] M. Buczek, Z. Moos, A. Gutsche, S. Menzel, R. Dittmann, Pr1-xCaxMnO3-Based Memristive Heterostructures: Basic Mechanisms and Applications. Chemical Reviews 125, 6156–6202 (2025).</w:t>
      </w:r>
    </w:p>
    <w:p>
      <w:pPr>
        <w:spacing w:after="120"/>
      </w:pPr>
      <w:r>
        <w:rPr>
          <w:sz w:val="18"/>
          <w:szCs w:val="18"/>
        </w:rPr>
        <w:t xml:space="preserve">[E3] M. Buczek et al., Large Area Pulsed Laser Deposition of Memristive Pr0.7Ca0.3MnO3 Heterostructures for Neuromorphic Computing. Thin Solid Films (2024).</w:t>
      </w:r>
    </w:p>
    <w:p>
      <w:pPr>
        <w:pStyle w:val="Heading1"/>
        <w:spacing w:after="120" w:before="240"/>
      </w:pPr>
      <w:r>
        <w:t xml:space="preserve">8  Notes before submission</w:t>
      </w:r>
    </w:p>
    <w:p>
      <w:pPr>
        <w:spacing w:after="120"/>
      </w:pPr>
      <w:r>
        <w:rPr>
          <w:sz w:val="18"/>
          <w:szCs w:val="18"/>
        </w:rPr>
        <w:t xml:space="preserve">• Verify all bracketed programme details (rates, deadlines, current call conditions) against the funder’s current documentation. • Coordinate the proposal with Prof. Chueh and fix the German/European host institution. • German host commitment (employment + reintegration workplace) and host statement from Prof. Chueh required. • Manuscript placeholders in the publication list ([E1]) to be updated at submission time.</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2026-08-10T22:56:21.874Z</dcterms:created>
  <dcterms:modified xsi:type="dcterms:W3CDTF">2026-08-10T22:56:21.874Z</dcterms:modified>
</cp:coreProperties>
</file>

<file path=docProps/custom.xml><?xml version="1.0" encoding="utf-8"?>
<Properties xmlns="http://schemas.openxmlformats.org/officeDocument/2006/custom-properties" xmlns:vt="http://schemas.openxmlformats.org/officeDocument/2006/docPropsVTypes"/>
</file>