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[40, 41] within the Zaanen-Sawatzky-Allen classification [39].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[16]. (D2) At six to ten support points per series, cluster-model analysis of the transition-metal 2p core-level satellites and of the L2,3 multiplets yields the charge-transfer energy, the Coulomb energy and the transfer integrals, and hence w_L itself [41], evaluated with charge-transfer multiplet and Wannier-based multiplet ligand-field codes [54, 55].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[48], so the calibration is not carried across separate beamtimes. The descriptor is finally held to a model comparison against formal valence, tolerance factor and the uncalibrated pre-edge area; if it does not outperform them, that is reported as the result.</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910261773"/>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910261773"/>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910261773"/>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1910261773"/>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1910261773"/>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1910261773"/>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1910261773"/>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1910261773"/>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1910261773"/>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1910261773"/>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1910261773"/>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1910261773"/>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1910261773"/>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1910261773"/>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1910261773"/>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1910261773"/>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1910261773"/>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1910261773"/>
        <w:rPr>
          <w:rFonts w:ascii="Arial" w:hAnsi="Arial" w:cs="Arial"/>
          <w:sz w:val="18"/>
          <w:szCs w:val="18"/>
        </w:rPr>
      </w:pPr>
      <w:r>
        <w:rPr>
          <w:rFonts w:ascii="Arial" w:hAnsi="Arial" w:cs="Arial"/>
          <w:sz w:val="18"/>
          <w:szCs w:val="18"/>
        </w:rPr>
        <w:t xml:space="preserve">[53] J. J. Kim, S. R. Bishop, N. J. Thompson, H. L. Tuller, Chemistry of Materials 26, 1374-1379 (2014).</w:t>
      </w:r>
    </w:p>
    <w:p>
      <w:pPr>
        <w:spacing w:after="60"/>
        <w:ind w:hanging="480"/>
        <w:divId w:val="1910261773"/>
        <w:rPr>
          <w:rFonts w:ascii="Arial" w:hAnsi="Arial" w:cs="Arial"/>
          <w:sz w:val="18"/>
          <w:szCs w:val="18"/>
        </w:rPr>
      </w:pPr>
      <w:r>
        <w:rPr>
          <w:rFonts w:ascii="Arial" w:hAnsi="Arial" w:cs="Arial"/>
          <w:sz w:val="18"/>
          <w:szCs w:val="18"/>
        </w:rPr>
        <w:t xml:space="preserve">[54] E. Stavitski, F. M. F. de Groot, Micron 41, 687-694 (2010).</w:t>
      </w:r>
    </w:p>
    <w:p>
      <w:pPr>
        <w:spacing w:after="60"/>
        <w:ind w:hanging="480"/>
        <w:divId w:val="1910261773"/>
        <w:rPr>
          <w:rFonts w:ascii="Arial" w:hAnsi="Arial" w:cs="Arial"/>
          <w:sz w:val="18"/>
          <w:szCs w:val="18"/>
        </w:rPr>
      </w:pPr>
      <w:r>
        <w:rPr>
          <w:rFonts w:ascii="Arial" w:hAnsi="Arial" w:cs="Arial"/>
          <w:sz w:val="18"/>
          <w:szCs w:val="18"/>
        </w:rPr>
        <w:t xml:space="preserve">[55] M. W. Haverkort, M. Zwierzycki, O. K. Andersen, Physical Review B 85, 165113 (2012).</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