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[23, 24] within the Zaanen-Sawatzky-Allen classification [22].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[16], its interpretation limits taken from the O K-edge methodology literature [27]. (D2) At six to ten support points per series, cluster-model analysis of the transition-metal 2p core-level satellites and of the L2,3 multiplets yields the charge-transfer energy, the Coulomb energy and the transfer integrals, and hence w_L itself [24], evaluated with charge-transfer multiplet and Wannier-based multiplet ligand-field codes [41, 42].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 Stanford)</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[41] E. Stavitski, F. M. F. de Groot, The CTM4XAS program for EELS and XAS spectral shape analysis of transition metal L edges. Micron 41, 687-694 (2010).</w:t>
      </w:r>
    </w:p>
    <w:p>
      <w:pPr>
        <w:spacing w:after="120"/>
      </w:pPr>
      <w:r>
        <w:rPr>
          <w:sz w:val="18"/>
          <w:szCs w:val="18"/>
        </w:rPr>
        <w:t xml:space="preserve">[42]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2026-08-10T22:56:22.070Z</dcterms:created>
  <dcterms:modified xsi:type="dcterms:W3CDTF">2026-08-10T22:56:22.070Z</dcterms:modified>
</cp:coreProperties>
</file>

<file path=docProps/custom.xml><?xml version="1.0" encoding="utf-8"?>
<Properties xmlns="http://schemas.openxmlformats.org/officeDocument/2006/custom-properties" xmlns:vt="http://schemas.openxmlformats.org/officeDocument/2006/docPropsVTypes"/>
</file>