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Ce1-xGdxO2-δ Fluorite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[21] and as extracted compound by compound by the configuration-interaction analyses of Fujimori, Bocquet, Saitoh, Sarma and co-workers [22–25]. O-K pre-edge intensities serve as a relative, series-internal hybridisation measure only; their limits as an absolute covalency scale (core-hole effects, ligand-hole distribution, band effects) are treated explicitly [26],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Anderson-impurity parameter basis of stoichiometric CeO2 is canonical [27–29], but no parameter set exists as a function of Gd content or δ – establishing the first AIM parametrisation of the GDC series is an explicit deliverable; note that ceria requires the 4f impurity framework rather than the d-electron cluster model of the perovskites, so the proposal carries two parallel parameter frameworks.</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[30] on a large-area PLD system of the type I have already used for wafer-scale memristive heterostructures [E3]; combinatorial hardware of this class covers substrates up to four inches [31], and epitaxial perovskite composition spreads are established [32]. Spatially resolved soft XAS turns such a wafer into a continuous covalency map – on-the-fly L-edge mapping of a combinatorial spread with a 0.5 mm beam has recently been demonstrated [33], and beamlines built for automated high-throughput NEXAFS exist for exactly this duty cycle [34] – while automated prober mapping of device arrays along the same gradient track yields the corresponding switching map [35].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[30], cation transfer is fluence- and pO2-sensitive and therefore calibrated per position [36],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[37], chemical expansion (high-temperature XRD) or a reference of known stoichiometry; optical absorption provides a second, fully imageable δ read-out [39]. Thin-film defect chemistry of exactly this type is established for ceria films [37] and for (La,Sr)FeO3-δ films [38],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[34].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[22, 23] within the Zaanen-Sawatzky-Allen classification [21].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[15], its interpretation limits taken from the O K-edge methodology literature [26]. (D2) At six to ten support points per series, cluster-model analysis of the transition-metal 2p core-level satellites and of the L2,3 multiplets yields the charge-transfer energy, the Coulomb energy and the transfer integrals, and hence w_L itself [23], evaluated with charge-transfer multiplet and Wannier-based multiplet ligand-field codes [40, 41].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[34],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 Stanford)</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10): validated sample series with complete descriptor set. In parallel with the discrete samples, a gradient wafer of the same system is grown in continuous-compositional-spread mode [30, 31]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 Stanford)</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18): switching figures of merit as a function of x and δ with robust statistics on the established platform.</w:t>
      </w:r>
    </w:p>
    <w:p>
      <w:pPr>
        <w:spacing w:after="120"/>
      </w:pPr>
      <w:r>
        <w:rPr>
          <w:b/>
          <w:bCs/>
        </w:rPr>
        <w:t xml:space="preserve">WP3 – Correlation, operando validation and publication (months 16–24, Stanford)</w:t>
      </w:r>
    </w:p>
    <w:p>
      <w:pPr>
        <w:spacing w:after="120"/>
      </w:pPr>
      <w:r>
        <w:t xml:space="preserve">Correlation analysis XAS descriptor ↔ defect-chemical EV/association [10, 13] ↔ switching metrics; cross-class comparison with the perovskite descriptor data of the group programme. Second SSRL campaign: XAS on switched crossbars (ex-situ before/after switching, operando if successful). Publication of the first covalency-resolved fluorite memristor study;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[34], with equilibrium and radiation-dose controls preceding any descriptor claim.</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GDC is deliberately map-strategic and host-strategic: nonstoichiometric ceria is the host group’s founding material, and the fluorite class is the sharpest available test of which descriptor formulation carries across oxide classes.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[21] J. Zaanen, G. A. Sawatzky, J. W. Allen, Band gaps and electronic structure of transition-metal compounds. Physical Review Letters 55, 418–421 (1985).</w:t>
      </w:r>
    </w:p>
    <w:p>
      <w:pPr>
        <w:spacing w:after="120"/>
      </w:pPr>
      <w:r>
        <w:rPr>
          <w:sz w:val="18"/>
          <w:szCs w:val="18"/>
        </w:rPr>
        <w:t xml:space="preserve">[22] A. Fujimori, F. Minami, Valence-band photoemission and optical absorption in nickel compounds. Physical Review B 30, 957–971 (1984).</w:t>
      </w:r>
    </w:p>
    <w:p>
      <w:pPr>
        <w:spacing w:after="120"/>
      </w:pPr>
      <w:r>
        <w:rPr>
          <w:sz w:val="18"/>
          <w:szCs w:val="18"/>
        </w:rPr>
        <w:t xml:space="preserve">[23]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[24] T. Saitoh, A. E. Bocquet, T. Mizokawa, A. Fujimori, Systematic variation of the electronic structure of 3d transition-metal compounds. Physical Review B 52, 7934–7938 (1995).</w:t>
      </w:r>
    </w:p>
    <w:p>
      <w:pPr>
        <w:spacing w:after="120"/>
      </w:pPr>
      <w:r>
        <w:rPr>
          <w:sz w:val="18"/>
          <w:szCs w:val="18"/>
        </w:rPr>
        <w:t xml:space="preserve">[25] S. Nimkar, D. D. Sarma, H. R. Krishnamurthy, S. Ramasesha, Mean-field results of the multiple-band extended Hubbard model for the square-planar CuO2 lattice. Physical Review B 48, 7355–7363 (1993).</w:t>
      </w:r>
    </w:p>
    <w:p>
      <w:pPr>
        <w:spacing w:after="120"/>
      </w:pPr>
      <w:r>
        <w:rPr>
          <w:sz w:val="18"/>
          <w:szCs w:val="18"/>
        </w:rPr>
        <w:t xml:space="preserve">[26] F. M. F. de Groot, X-ray absorption and dichroism of transition metals and their compounds. Journal of Electron Spectroscopy and Related Phenomena 67, 529–622 (1994).</w:t>
      </w:r>
    </w:p>
    <w:p>
      <w:pPr>
        <w:spacing w:after="120"/>
      </w:pPr>
      <w:r>
        <w:rPr>
          <w:sz w:val="18"/>
          <w:szCs w:val="18"/>
        </w:rPr>
        <w:t xml:space="preserve">[27] A. Fujimori, Mixed-valent ground state of CeO2. Physical Review B 28, 2281–2283 (1983).</w:t>
      </w:r>
    </w:p>
    <w:p>
      <w:pPr>
        <w:spacing w:after="120"/>
      </w:pPr>
      <w:r>
        <w:rPr>
          <w:sz w:val="18"/>
          <w:szCs w:val="18"/>
        </w:rPr>
        <w:t xml:space="preserve">[28] E. Wuilloud, B. Delley, W.-D. Schneider, Y. Baer, Spectroscopic evidence for localized and extended f-symmetry states in CeO2. Physical Review Letters 53, 202–205 (1984).</w:t>
      </w:r>
    </w:p>
    <w:p>
      <w:pPr>
        <w:spacing w:after="120"/>
      </w:pPr>
      <w:r>
        <w:rPr>
          <w:sz w:val="18"/>
          <w:szCs w:val="18"/>
        </w:rPr>
        <w:t xml:space="preserve">[29] A. Kotani, T. Jo, J. C. Parlebas, Many-body effects in core-level spectroscopy of rare-earth compounds. Advances in Physics 37, 37–85 (1988).</w:t>
      </w:r>
    </w:p>
    <w:p>
      <w:pPr>
        <w:spacing w:after="120"/>
      </w:pPr>
      <w:r>
        <w:rPr>
          <w:sz w:val="18"/>
          <w:szCs w:val="18"/>
        </w:rPr>
        <w:t xml:space="preserve">[30]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[31]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[32] A. Venimadhav, K. A. Yates, M. G. Blamire, Scanning Raman Spectroscopy for Characterizing Compositionally Spread Films. Journal of Combinatorial Chemistry 7, 85–89 (2005).</w:t>
      </w:r>
    </w:p>
    <w:p>
      <w:pPr>
        <w:spacing w:after="120"/>
      </w:pPr>
      <w:r>
        <w:rPr>
          <w:sz w:val="18"/>
          <w:szCs w:val="18"/>
        </w:rPr>
        <w:t xml:space="preserve">[33]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[34]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[35]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[36]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[37]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[38]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[39]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[40] E. Stavitski, F. M. F. de Groot, The CTM4XAS program for EELS and XAS spectral shape analysis of transition metal L edges. Micron 41, 687-694 (2010).</w:t>
      </w:r>
    </w:p>
    <w:p>
      <w:pPr>
        <w:spacing w:after="120"/>
      </w:pPr>
      <w:r>
        <w:rPr>
          <w:sz w:val="18"/>
          <w:szCs w:val="18"/>
        </w:rPr>
        <w:t xml:space="preserve">[41]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2026-08-10T22:56:22.079Z</dcterms:created>
  <dcterms:modified xsi:type="dcterms:W3CDTF">2026-08-10T22:56:22.079Z</dcterms:modified>
</cp:coreProperties>
</file>

<file path=docProps/custom.xml><?xml version="1.0" encoding="utf-8"?>
<Properties xmlns="http://schemas.openxmlformats.org/officeDocument/2006/custom-properties" xmlns:vt="http://schemas.openxmlformats.org/officeDocument/2006/docPropsVTypes"/>
</file>