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jc w:val="center"/>
      </w:pPr>
    </w:p>
    <w:p>
      <w:pPr>
        <w:ind w:firstLine="0" w:firstLineChars="0"/>
        <w:jc w:val="center"/>
        <w:rPr>
          <w:b/>
          <w:bCs/>
          <w:sz w:val="32"/>
          <w:szCs w:val="32"/>
        </w:rPr>
      </w:pPr>
    </w:p>
    <w:p>
      <w:pPr>
        <w:ind w:firstLine="0" w:firstLineChars="0"/>
        <w:jc w:val="center"/>
        <w:rPr>
          <w:b/>
          <w:bCs/>
          <w:sz w:val="32"/>
          <w:szCs w:val="32"/>
        </w:rPr>
      </w:pPr>
    </w:p>
    <w:p>
      <w:pPr>
        <w:ind w:firstLine="0" w:firstLineChars="0"/>
        <w:jc w:val="center"/>
        <w:rPr>
          <w:b/>
          <w:bCs/>
          <w:sz w:val="32"/>
          <w:szCs w:val="32"/>
        </w:rPr>
      </w:pPr>
      <w:r>
        <w:drawing>
          <wp:inline distT="0" distB="0" distL="114300" distR="114300">
            <wp:extent cx="4451350" cy="1172210"/>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rcRect l="976" t="7266" r="3135" b="5216"/>
                    <a:stretch>
                      <a:fillRect/>
                    </a:stretch>
                  </pic:blipFill>
                  <pic:spPr>
                    <a:xfrm>
                      <a:off x="0" y="0"/>
                      <a:ext cx="4451350" cy="1172210"/>
                    </a:xfrm>
                    <a:prstGeom prst="rect">
                      <a:avLst/>
                    </a:prstGeom>
                    <a:noFill/>
                    <a:ln>
                      <a:noFill/>
                    </a:ln>
                  </pic:spPr>
                </pic:pic>
              </a:graphicData>
            </a:graphic>
          </wp:inline>
        </w:drawing>
      </w:r>
    </w:p>
    <w:p>
      <w:pPr>
        <w:ind w:firstLine="0" w:firstLineChars="0"/>
        <w:jc w:val="both"/>
        <w:rPr>
          <w:b/>
          <w:bCs/>
          <w:sz w:val="32"/>
          <w:szCs w:val="32"/>
        </w:rPr>
      </w:pPr>
    </w:p>
    <w:p>
      <w:pPr>
        <w:ind w:firstLine="0" w:firstLineChars="0"/>
        <w:jc w:val="center"/>
        <w:rPr>
          <w:b/>
          <w:bCs/>
          <w:sz w:val="32"/>
          <w:szCs w:val="32"/>
        </w:rPr>
      </w:pPr>
    </w:p>
    <w:p>
      <w:pPr>
        <w:ind w:firstLine="0" w:firstLineChars="0"/>
        <w:jc w:val="center"/>
        <w:rPr>
          <w:b/>
          <w:bCs/>
          <w:sz w:val="56"/>
          <w:szCs w:val="56"/>
        </w:rPr>
      </w:pPr>
      <w:r>
        <w:rPr>
          <w:rFonts w:hint="eastAsia"/>
          <w:b/>
          <w:bCs/>
          <w:sz w:val="72"/>
          <w:szCs w:val="72"/>
          <w:lang w:val="en-US" w:eastAsia="zh-CN"/>
        </w:rPr>
        <w:t>系统遗传学</w:t>
      </w:r>
      <w:r>
        <w:rPr>
          <w:rFonts w:hint="eastAsia"/>
          <w:b/>
          <w:bCs/>
          <w:sz w:val="72"/>
          <w:szCs w:val="72"/>
        </w:rPr>
        <w:t>课程论文</w:t>
      </w:r>
    </w:p>
    <w:p>
      <w:pPr>
        <w:ind w:firstLine="0" w:firstLineChars="0"/>
        <w:jc w:val="center"/>
        <w:rPr>
          <w:b/>
          <w:bCs/>
          <w:sz w:val="32"/>
          <w:szCs w:val="32"/>
        </w:rPr>
      </w:pPr>
    </w:p>
    <w:p>
      <w:pPr>
        <w:ind w:firstLine="0" w:firstLineChars="0"/>
        <w:jc w:val="center"/>
        <w:rPr>
          <w:rFonts w:hint="default" w:ascii="黑体" w:hAnsi="黑体" w:eastAsia="黑体" w:cs="黑体"/>
          <w:b/>
          <w:bCs/>
          <w:sz w:val="44"/>
          <w:szCs w:val="44"/>
          <w:lang w:val="en-US" w:eastAsia="zh-CN"/>
        </w:rPr>
      </w:pPr>
      <w:r>
        <w:rPr>
          <w:rFonts w:hint="eastAsia" w:ascii="黑体" w:hAnsi="黑体" w:eastAsia="黑体" w:cs="黑体"/>
          <w:b/>
          <w:bCs/>
          <w:sz w:val="44"/>
          <w:szCs w:val="44"/>
          <w:lang w:val="en-US" w:eastAsia="zh-CN"/>
        </w:rPr>
        <w:t>孤独症和癫痫星形胶质细胞的</w:t>
      </w:r>
    </w:p>
    <w:p>
      <w:pPr>
        <w:ind w:firstLine="0" w:firstLineChars="0"/>
        <w:jc w:val="center"/>
        <w:rPr>
          <w:b/>
          <w:bCs/>
          <w:sz w:val="32"/>
          <w:szCs w:val="32"/>
        </w:rPr>
      </w:pPr>
      <w:r>
        <w:rPr>
          <w:rFonts w:hint="eastAsia" w:ascii="黑体" w:hAnsi="黑体" w:eastAsia="黑体" w:cs="黑体"/>
          <w:b/>
          <w:bCs/>
          <w:sz w:val="44"/>
          <w:szCs w:val="44"/>
          <w:lang w:val="en-US" w:eastAsia="zh-CN"/>
        </w:rPr>
        <w:t>差异表达基因的富集、网络构建和Hub基因识别</w:t>
      </w:r>
    </w:p>
    <w:p>
      <w:pPr>
        <w:ind w:firstLine="0" w:firstLineChars="0"/>
        <w:jc w:val="center"/>
        <w:rPr>
          <w:b/>
          <w:bCs/>
          <w:sz w:val="32"/>
          <w:szCs w:val="32"/>
        </w:rPr>
      </w:pPr>
    </w:p>
    <w:p>
      <w:pPr>
        <w:ind w:firstLine="2530" w:firstLineChars="700"/>
        <w:jc w:val="left"/>
        <w:rPr>
          <w:b/>
          <w:bCs/>
          <w:sz w:val="36"/>
          <w:szCs w:val="36"/>
          <w:u w:val="single"/>
        </w:rPr>
      </w:pPr>
      <w:r>
        <w:rPr>
          <w:rFonts w:hint="eastAsia"/>
          <w:b/>
          <w:bCs/>
          <w:sz w:val="36"/>
          <w:szCs w:val="36"/>
        </w:rPr>
        <w:t>姓名：</w:t>
      </w:r>
      <w:r>
        <w:rPr>
          <w:rFonts w:hint="eastAsia"/>
          <w:b/>
          <w:bCs/>
          <w:sz w:val="36"/>
          <w:szCs w:val="36"/>
          <w:u w:val="single"/>
        </w:rPr>
        <w:t xml:space="preserve">   </w:t>
      </w:r>
      <w:r>
        <w:rPr>
          <w:b/>
          <w:bCs/>
          <w:sz w:val="36"/>
          <w:szCs w:val="36"/>
          <w:u w:val="single"/>
        </w:rPr>
        <w:t xml:space="preserve">  </w:t>
      </w:r>
      <w:r>
        <w:rPr>
          <w:rFonts w:hint="eastAsia"/>
          <w:b/>
          <w:bCs/>
          <w:sz w:val="36"/>
          <w:szCs w:val="36"/>
          <w:u w:val="single"/>
          <w:lang w:val="en-US" w:eastAsia="zh-CN"/>
        </w:rPr>
        <w:t>张逸东</w:t>
      </w:r>
      <w:r>
        <w:rPr>
          <w:b/>
          <w:bCs/>
          <w:sz w:val="36"/>
          <w:szCs w:val="36"/>
          <w:u w:val="single"/>
        </w:rPr>
        <w:t xml:space="preserve"> </w:t>
      </w:r>
      <w:r>
        <w:rPr>
          <w:rFonts w:hint="eastAsia"/>
          <w:b/>
          <w:bCs/>
          <w:sz w:val="36"/>
          <w:szCs w:val="36"/>
          <w:u w:val="single"/>
          <w:lang w:val="en-US" w:eastAsia="zh-CN"/>
        </w:rPr>
        <w:t xml:space="preserve">       </w:t>
      </w:r>
      <w:r>
        <w:rPr>
          <w:b/>
          <w:bCs/>
          <w:sz w:val="36"/>
          <w:szCs w:val="36"/>
          <w:u w:val="single"/>
        </w:rPr>
        <w:t xml:space="preserve"> </w:t>
      </w:r>
    </w:p>
    <w:p>
      <w:pPr>
        <w:ind w:firstLine="2530" w:firstLineChars="700"/>
        <w:jc w:val="left"/>
        <w:rPr>
          <w:b/>
          <w:bCs/>
          <w:sz w:val="36"/>
          <w:szCs w:val="36"/>
          <w:u w:val="single"/>
        </w:rPr>
      </w:pPr>
      <w:r>
        <w:rPr>
          <w:rFonts w:hint="eastAsia"/>
          <w:b/>
          <w:bCs/>
          <w:sz w:val="36"/>
          <w:szCs w:val="36"/>
        </w:rPr>
        <w:t>学院：</w:t>
      </w:r>
      <w:r>
        <w:rPr>
          <w:rFonts w:hint="eastAsia"/>
          <w:b/>
          <w:bCs/>
          <w:sz w:val="36"/>
          <w:szCs w:val="36"/>
          <w:u w:val="single"/>
        </w:rPr>
        <w:t xml:space="preserve"> </w:t>
      </w:r>
      <w:r>
        <w:rPr>
          <w:b/>
          <w:bCs/>
          <w:sz w:val="36"/>
          <w:szCs w:val="36"/>
          <w:u w:val="single"/>
        </w:rPr>
        <w:t xml:space="preserve"> </w:t>
      </w:r>
      <w:r>
        <w:rPr>
          <w:rFonts w:hint="eastAsia"/>
          <w:b/>
          <w:bCs/>
          <w:sz w:val="36"/>
          <w:szCs w:val="36"/>
          <w:u w:val="single"/>
          <w:lang w:val="en-US" w:eastAsia="zh-CN"/>
        </w:rPr>
        <w:t xml:space="preserve">   信息学院       </w:t>
      </w:r>
    </w:p>
    <w:p>
      <w:pPr>
        <w:ind w:firstLine="2530" w:firstLineChars="700"/>
        <w:jc w:val="left"/>
        <w:rPr>
          <w:b/>
          <w:bCs/>
          <w:sz w:val="36"/>
          <w:szCs w:val="36"/>
          <w:u w:val="single"/>
        </w:rPr>
      </w:pPr>
      <w:r>
        <w:rPr>
          <w:rFonts w:hint="eastAsia"/>
          <w:b/>
          <w:bCs/>
          <w:sz w:val="36"/>
          <w:szCs w:val="36"/>
        </w:rPr>
        <w:t>学号：</w:t>
      </w:r>
      <w:r>
        <w:rPr>
          <w:rFonts w:hint="eastAsia"/>
          <w:b/>
          <w:bCs/>
          <w:sz w:val="36"/>
          <w:szCs w:val="36"/>
          <w:u w:val="single"/>
        </w:rPr>
        <w:t xml:space="preserve">   </w:t>
      </w:r>
      <w:r>
        <w:rPr>
          <w:rFonts w:hint="eastAsia"/>
          <w:b/>
          <w:bCs/>
          <w:sz w:val="36"/>
          <w:szCs w:val="36"/>
          <w:u w:val="single"/>
          <w:lang w:val="en-US" w:eastAsia="zh-CN"/>
        </w:rPr>
        <w:t>2023317110014</w:t>
      </w:r>
      <w:r>
        <w:rPr>
          <w:b/>
          <w:bCs/>
          <w:sz w:val="36"/>
          <w:szCs w:val="36"/>
          <w:u w:val="single"/>
        </w:rPr>
        <w:t xml:space="preserve"> </w:t>
      </w:r>
      <w:r>
        <w:rPr>
          <w:rFonts w:hint="eastAsia"/>
          <w:b/>
          <w:bCs/>
          <w:sz w:val="36"/>
          <w:szCs w:val="36"/>
          <w:u w:val="single"/>
          <w:lang w:val="en-US" w:eastAsia="zh-CN"/>
        </w:rPr>
        <w:t xml:space="preserve"> </w:t>
      </w:r>
      <w:r>
        <w:rPr>
          <w:b/>
          <w:bCs/>
          <w:sz w:val="36"/>
          <w:szCs w:val="36"/>
          <w:u w:val="single"/>
        </w:rPr>
        <w:t xml:space="preserve">  </w:t>
      </w:r>
    </w:p>
    <w:p>
      <w:pPr>
        <w:tabs>
          <w:tab w:val="center" w:pos="5180"/>
        </w:tabs>
        <w:ind w:firstLine="720"/>
        <w:rPr>
          <w:sz w:val="36"/>
          <w:szCs w:val="36"/>
        </w:rPr>
      </w:pPr>
      <w:r>
        <w:rPr>
          <w:sz w:val="36"/>
          <w:szCs w:val="36"/>
        </w:rPr>
        <w:tab/>
      </w:r>
    </w:p>
    <w:p>
      <w:pPr>
        <w:ind w:firstLine="720"/>
        <w:rPr>
          <w:sz w:val="36"/>
          <w:szCs w:val="36"/>
        </w:rPr>
      </w:pPr>
    </w:p>
    <w:p>
      <w:pPr>
        <w:tabs>
          <w:tab w:val="center" w:pos="5179"/>
        </w:tabs>
        <w:ind w:firstLine="0" w:firstLineChars="0"/>
        <w:rPr>
          <w:sz w:val="36"/>
          <w:szCs w:val="36"/>
        </w:rPr>
        <w:sectPr>
          <w:headerReference r:id="rId7" w:type="first"/>
          <w:footerReference r:id="rId10" w:type="first"/>
          <w:headerReference r:id="rId5" w:type="default"/>
          <w:footerReference r:id="rId8" w:type="default"/>
          <w:headerReference r:id="rId6" w:type="even"/>
          <w:footerReference r:id="rId9" w:type="even"/>
          <w:pgSz w:w="11906" w:h="16838"/>
          <w:pgMar w:top="1134" w:right="1134" w:bottom="1134" w:left="1134" w:header="851" w:footer="992" w:gutter="0"/>
          <w:pgNumType w:start="0"/>
          <w:cols w:space="425" w:num="1"/>
          <w:titlePg/>
          <w:docGrid w:type="lines" w:linePitch="326" w:charSpace="0"/>
        </w:sectPr>
      </w:pPr>
      <w:r>
        <w:rPr>
          <w:sz w:val="36"/>
          <w:szCs w:val="36"/>
        </w:rPr>
        <w:tab/>
      </w:r>
    </w:p>
    <w:p>
      <w:pPr>
        <w:pStyle w:val="2"/>
        <w:bidi w:val="0"/>
        <w:rPr>
          <w:rFonts w:hint="eastAsia"/>
          <w:lang w:val="en-US" w:eastAsia="zh-CN"/>
        </w:rPr>
      </w:pPr>
      <w:r>
        <w:rPr>
          <w:rFonts w:hint="eastAsia"/>
          <w:lang w:val="en-US" w:eastAsia="zh-CN"/>
        </w:rPr>
        <w:t>1  摘要</w:t>
      </w:r>
    </w:p>
    <w:p>
      <w:pPr>
        <w:bidi w:val="0"/>
        <w:rPr>
          <w:rFonts w:hint="default"/>
          <w:lang w:val="en-US" w:eastAsia="zh-CN"/>
        </w:rPr>
      </w:pPr>
      <w:r>
        <w:rPr>
          <w:rFonts w:hint="eastAsia"/>
          <w:lang w:val="en-US" w:eastAsia="zh-CN"/>
        </w:rPr>
        <w:t>本研究收集了孤独症、癫痫和共患个体的单细胞核RNA Seq测序数据，进行基因定量和细胞注释后，从118395个细胞中筛选出9216个取自前额叶皮层的星形胶质细胞进行差异表达分析，找出孤独症、癫痫和共患的差异表达基因，分别进行GO富集和KEGG富集，找出各自共有的和特有的功能或者通路注释，发现患病个体的星形胶质细胞的能量代谢、蛋白转运和翻译以及细胞的形态存在异常；癫痫影响星形胶质细胞的代谢活动的机制和孤独症不同，癫痫可能和胶质细胞对钙离子的响应和转运存在联系；共患个体的星形胶质细胞对类固醇激素、糖皮质激素的响应存在异常；KEGG富集结果显示这些差异表达基因和其他的一些精神疾病存在交互，从侧面说明了一些精神疾病的并发机制。最后本研究通过对2531个差异表达基因进行WGCNA分析，识别到两个共表达网络模块，并确定了这两个共表达模块的hub基因。</w:t>
      </w:r>
    </w:p>
    <w:p>
      <w:pPr>
        <w:bidi w:val="0"/>
        <w:ind w:left="0" w:leftChars="0" w:firstLine="0" w:firstLineChars="0"/>
        <w:rPr>
          <w:rFonts w:hint="default"/>
          <w:b w:val="0"/>
          <w:bCs w:val="0"/>
          <w:lang w:val="en-US" w:eastAsia="zh-CN"/>
        </w:rPr>
      </w:pPr>
      <w:r>
        <w:rPr>
          <w:rFonts w:hint="eastAsia" w:ascii="黑体" w:hAnsi="黑体" w:eastAsia="黑体" w:cs="黑体"/>
          <w:b/>
          <w:bCs/>
          <w:lang w:val="en-US" w:eastAsia="zh-CN"/>
        </w:rPr>
        <w:t>关键词</w:t>
      </w:r>
      <w:r>
        <w:rPr>
          <w:rFonts w:hint="eastAsia" w:ascii="黑体" w:hAnsi="黑体" w:eastAsia="黑体" w:cs="黑体"/>
          <w:b w:val="0"/>
          <w:bCs w:val="0"/>
          <w:lang w:val="en-US" w:eastAsia="zh-CN"/>
        </w:rPr>
        <w:t>：</w:t>
      </w:r>
      <w:r>
        <w:rPr>
          <w:rFonts w:hint="eastAsia" w:ascii="宋体" w:hAnsi="宋体" w:eastAsia="宋体" w:cs="宋体"/>
          <w:b w:val="0"/>
          <w:bCs w:val="0"/>
          <w:lang w:val="en-US" w:eastAsia="zh-CN"/>
        </w:rPr>
        <w:t>孤独症    癫痫    单细胞核测序    星形胶质细胞</w:t>
      </w:r>
    </w:p>
    <w:p>
      <w:pPr>
        <w:ind w:left="0" w:leftChars="0" w:firstLine="0" w:firstLineChars="0"/>
        <w:rPr>
          <w:rFonts w:hint="eastAsia"/>
          <w:lang w:val="en-US" w:eastAsia="zh-CN"/>
        </w:rPr>
      </w:pPr>
    </w:p>
    <w:p>
      <w:pPr>
        <w:pStyle w:val="2"/>
        <w:bidi w:val="0"/>
        <w:rPr>
          <w:rFonts w:hint="eastAsia"/>
          <w:lang w:val="en-US" w:eastAsia="zh-CN"/>
        </w:rPr>
      </w:pPr>
      <w:r>
        <w:rPr>
          <w:rFonts w:hint="eastAsia"/>
          <w:lang w:val="en-US" w:eastAsia="zh-CN"/>
        </w:rPr>
        <w:t>2  前言</w:t>
      </w:r>
    </w:p>
    <w:p>
      <w:pPr>
        <w:bidi w:val="0"/>
        <w:rPr>
          <w:rFonts w:hint="eastAsia"/>
          <w:lang w:val="en-US" w:eastAsia="zh-CN"/>
        </w:rPr>
      </w:pPr>
      <w:r>
        <w:rPr>
          <w:rFonts w:hint="eastAsia"/>
          <w:lang w:val="en-US" w:eastAsia="zh-CN"/>
        </w:rPr>
        <w:t>2013年发表的一项大型研究观察了近6000名孤独症儿童，发现其中12.5%患有癫痫，在13岁以上的儿童中，这一比例上升至26%。2019年对近7000名孤独症儿童的研究发现，约10%的儿童患有癫痫。其他研究得出的这一数据从2% - 46%不等。这些数据都超过了癫痫在普通人群中的患病率。癫痫患者也比其他人更有可能患有孤独症，瑞典对85000多名癫痫患者的研究发现，这些人的孤独症发病率是普通人的10倍(</w:t>
      </w: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"https://zhuanlan.zhihu.com/p/307714618" </w:instrText>
      </w:r>
      <w:r>
        <w:rPr>
          <w:rFonts w:ascii="宋体" w:hAnsi="宋体" w:eastAsia="宋体" w:cs="宋体"/>
          <w:sz w:val="24"/>
          <w:szCs w:val="24"/>
        </w:rPr>
        <w:fldChar w:fldCharType="separate"/>
      </w:r>
      <w:r>
        <w:rPr>
          <w:rStyle w:val="13"/>
          <w:rFonts w:ascii="宋体" w:hAnsi="宋体" w:eastAsia="宋体" w:cs="宋体"/>
          <w:sz w:val="24"/>
          <w:szCs w:val="24"/>
        </w:rPr>
        <w:t>癫痫与自闭症之间有什么关系？(zhihu.com)</w:t>
      </w:r>
      <w:r>
        <w:rPr>
          <w:rFonts w:ascii="宋体" w:hAnsi="宋体" w:eastAsia="宋体" w:cs="宋体"/>
          <w:sz w:val="24"/>
          <w:szCs w:val="24"/>
        </w:rPr>
        <w:fldChar w:fldCharType="end"/>
      </w:r>
      <w:r>
        <w:rPr>
          <w:rFonts w:hint="eastAsia"/>
          <w:lang w:val="en-US" w:eastAsia="zh-CN"/>
        </w:rPr>
        <w:t>)。</w:t>
      </w:r>
    </w:p>
    <w:p>
      <w:pPr>
        <w:bidi w:val="0"/>
        <w:rPr>
          <w:rFonts w:hint="eastAsia"/>
          <w:lang w:val="en-US" w:eastAsia="zh-CN"/>
        </w:rPr>
      </w:pPr>
      <w:r>
        <w:rPr>
          <w:rFonts w:hint="eastAsia"/>
          <w:lang w:val="en-US" w:eastAsia="zh-CN"/>
        </w:rPr>
        <w:t>为研究孤独症、癫痫以及共患患者之间的区别或联系，本研究提出了以下问题：1. 孤独症、癫痫以及共患的差异表达基因是否存在某些联系或者区别；2. 这些差异表达基因都富集到哪些通路和功能；3. 差异表达基因是否存在共表达网络模块；4. 如果存在共表达模块，那这些模块的hub基因都有哪些。为研究以上问题，本研究收集了孤独症、癫痫以及共患的大脑皮层的单细胞核RNA Seq数据，通过定量获得单细胞基因表达矩阵，进行细胞聚类和注释，然后从118395个细胞中筛选出9216个星形胶质细胞进行差异表达分析、GO和KEGG富集、WGCNA分析，构建网络，识别共表达模块，并找出共表达网络模块的hub基因。</w:t>
      </w:r>
    </w:p>
    <w:p>
      <w:pPr>
        <w:pStyle w:val="2"/>
        <w:bidi w:val="0"/>
        <w:rPr>
          <w:rFonts w:hint="eastAsia"/>
          <w:lang w:val="en-US" w:eastAsia="zh-CN"/>
        </w:rPr>
      </w:pPr>
      <w:r>
        <w:rPr>
          <w:rFonts w:hint="eastAsia"/>
          <w:lang w:val="en-US" w:eastAsia="zh-CN"/>
        </w:rPr>
        <w:t>3  研究方法</w:t>
      </w:r>
    </w:p>
    <w:p>
      <w:pPr>
        <w:pStyle w:val="3"/>
        <w:bidi w:val="0"/>
        <w:rPr>
          <w:rFonts w:hint="eastAsia"/>
          <w:lang w:val="en-US" w:eastAsia="zh-CN"/>
        </w:rPr>
      </w:pPr>
      <w:r>
        <w:rPr>
          <w:rFonts w:hint="eastAsia"/>
          <w:lang w:val="en-US" w:eastAsia="zh-CN"/>
        </w:rPr>
        <w:t>3.1  数据获取</w:t>
      </w:r>
    </w:p>
    <w:p>
      <w:pPr>
        <w:jc w:val="left"/>
        <w:rPr>
          <w:rFonts w:hint="eastAsia"/>
          <w:b/>
          <w:bCs/>
          <w:color w:val="0000FF"/>
          <w:lang w:val="en-US" w:eastAsia="zh-CN"/>
        </w:rPr>
      </w:pPr>
      <w:r>
        <w:rPr>
          <w:rFonts w:hint="eastAsia"/>
          <w:lang w:val="en-US" w:eastAsia="zh-CN"/>
        </w:rPr>
        <w:t>本研究收集了Velmeshev等研究人员</w:t>
      </w:r>
      <w:r>
        <w:rPr>
          <w:rFonts w:hint="default" w:ascii="Times New Roman" w:hAnsi="Times New Roman" w:eastAsia="Times New Roman"/>
          <w:color w:val="080000"/>
          <w:sz w:val="24"/>
          <w:szCs w:val="24"/>
        </w:rPr>
        <w:t>(VELMESHEV, D, et al.,2019)</w:t>
      </w:r>
      <w:r>
        <w:rPr>
          <w:rFonts w:hint="eastAsia"/>
          <w:lang w:val="en-US" w:eastAsia="zh-CN"/>
        </w:rPr>
        <w:t>用于研究孤独症患者大脑皮层中特定细胞类型的转录组变化的单细胞核RNA测序数据。这一批单细胞核测序数据一共有118个样本，分别来自于43个死亡个体，2个大脑区域。43个个体可以分为癫痫(8)、孤独症(7)、共患(8)以及正常(20)四类。118个样本采样于前额叶皮层(Prefrontal Cortex, PFC)和前扣带皮层(Anterior Cingulate Cortex, ACC)两个大脑区域。</w:t>
      </w:r>
    </w:p>
    <w:p>
      <w:pPr>
        <w:rPr>
          <w:rFonts w:hint="eastAsia"/>
          <w:lang w:val="en-US" w:eastAsia="zh-CN"/>
        </w:rPr>
      </w:pPr>
      <w:r>
        <w:rPr>
          <w:rFonts w:hint="eastAsia"/>
          <w:lang w:val="en-US" w:eastAsia="zh-CN"/>
        </w:rPr>
        <w:t>Velmeshev等人提供了含有104559个细胞的关于孤独症、共患和正常个体的基因表达矩阵以及细胞注释信息的数据集，却没有提供癫痫患者和部分正常个体的基因表达矩阵，需要获取相关样本的测序数据进行单细胞核测序上游分析，对细胞和基因进行定量，获得基因表达矩阵，并对细胞进行注释以进行下游分析。</w:t>
      </w:r>
    </w:p>
    <w:p>
      <w:pPr>
        <w:rPr>
          <w:rFonts w:hint="default"/>
          <w:lang w:val="en-US" w:eastAsia="zh-CN"/>
        </w:rPr>
      </w:pPr>
    </w:p>
    <w:p>
      <w:pPr>
        <w:pStyle w:val="3"/>
        <w:bidi w:val="0"/>
        <w:rPr>
          <w:rFonts w:hint="eastAsia"/>
          <w:lang w:val="en-US" w:eastAsia="zh-CN"/>
        </w:rPr>
      </w:pPr>
      <w:r>
        <w:rPr>
          <w:rFonts w:hint="eastAsia"/>
          <w:lang w:val="en-US" w:eastAsia="zh-CN"/>
        </w:rPr>
        <w:t>3.2  单细胞核测序数据处理</w:t>
      </w:r>
    </w:p>
    <w:p>
      <w:pPr>
        <w:bidi w:val="0"/>
        <w:rPr>
          <w:rFonts w:hint="eastAsia"/>
          <w:lang w:val="en-US" w:eastAsia="zh-CN"/>
        </w:rPr>
      </w:pPr>
      <w:r>
        <w:rPr>
          <w:rFonts w:hint="eastAsia"/>
          <w:lang w:val="en-US" w:eastAsia="zh-CN"/>
        </w:rPr>
        <w:t>本研究一共有13个样本需要进行单细胞RNA测序的上游分析，包括8个癫痫患者的PFC样本和5个后续添加的正常个体的PFC样本。</w:t>
      </w:r>
    </w:p>
    <w:p>
      <w:pPr>
        <w:bidi w:val="0"/>
        <w:rPr>
          <w:rFonts w:hint="default"/>
          <w:lang w:val="en-US" w:eastAsia="zh-CN"/>
        </w:rPr>
      </w:pPr>
    </w:p>
    <w:p>
      <w:pPr>
        <w:pStyle w:val="4"/>
        <w:bidi w:val="0"/>
        <w:rPr>
          <w:rFonts w:hint="eastAsia"/>
          <w:lang w:val="en-US" w:eastAsia="zh-CN"/>
        </w:rPr>
      </w:pPr>
      <w:r>
        <w:rPr>
          <w:rFonts w:hint="eastAsia"/>
          <w:lang w:val="en-US" w:eastAsia="zh-CN"/>
        </w:rPr>
        <w:t>3.2.1  单细胞测序数据预处理</w:t>
      </w:r>
    </w:p>
    <w:p>
      <w:pPr>
        <w:keepNext w:val="0"/>
        <w:keepLines w:val="0"/>
        <w:pageBreakBefore w:val="0"/>
        <w:widowControl w:val="0"/>
        <w:kinsoku/>
        <w:wordWrap w:val="0"/>
        <w:overflowPunct/>
        <w:topLinePunct w:val="0"/>
        <w:autoSpaceDE/>
        <w:autoSpaceDN/>
        <w:bidi w:val="0"/>
        <w:adjustRightInd/>
        <w:snapToGrid/>
        <w:textAlignment w:val="auto"/>
        <w:rPr>
          <w:rFonts w:hint="eastAsia"/>
          <w:lang w:val="en-US" w:eastAsia="zh-CN"/>
        </w:rPr>
      </w:pPr>
      <w:r>
        <w:rPr>
          <w:rFonts w:hint="eastAsia"/>
          <w:lang w:val="en-US" w:eastAsia="zh-CN"/>
        </w:rPr>
        <w:t>本研究根据Velmeshev等研究人员提供的项目编号从SRA数据库(https://www.ncbi.nlm.nih.gov/sra/?term=PRJNA434002)下载对应的13个单细胞测序原始数据；使用Sratoolkit (Version=3.0.7) 中的工具fasterq-dump (--split-3) 将SRA文件转化为fastq文件。为节省存储空间，使用多线程压缩工具pigz (Version=2.8) 对fastq文件进行压缩；使用FastqC (Version=0.11.9) 和MultiQC (Version=1.18) 对其进行质检，序列质量较好，没有进行后续的序列质控。</w:t>
      </w:r>
    </w:p>
    <w:p>
      <w:pPr>
        <w:keepNext w:val="0"/>
        <w:keepLines w:val="0"/>
        <w:pageBreakBefore w:val="0"/>
        <w:widowControl w:val="0"/>
        <w:kinsoku/>
        <w:wordWrap w:val="0"/>
        <w:overflowPunct/>
        <w:topLinePunct w:val="0"/>
        <w:autoSpaceDE/>
        <w:autoSpaceDN/>
        <w:bidi w:val="0"/>
        <w:adjustRightInd/>
        <w:snapToGrid/>
        <w:textAlignment w:val="auto"/>
        <w:rPr>
          <w:rFonts w:hint="default"/>
          <w:lang w:val="en-US" w:eastAsia="zh-CN"/>
        </w:rPr>
      </w:pPr>
    </w:p>
    <w:p>
      <w:pPr>
        <w:pStyle w:val="4"/>
        <w:bidi w:val="0"/>
        <w:rPr>
          <w:rFonts w:hint="eastAsia"/>
          <w:lang w:val="en-US" w:eastAsia="zh-CN"/>
        </w:rPr>
      </w:pPr>
      <w:r>
        <w:rPr>
          <w:rFonts w:hint="eastAsia"/>
          <w:lang w:val="en-US" w:eastAsia="zh-CN"/>
        </w:rPr>
        <w:t>3.2.2  细胞和基因定量</w:t>
      </w:r>
    </w:p>
    <w:p>
      <w:pPr>
        <w:rPr>
          <w:rFonts w:hint="eastAsia"/>
          <w:lang w:val="en-US" w:eastAsia="zh-CN"/>
        </w:rPr>
      </w:pPr>
      <w:r>
        <w:rPr>
          <w:rFonts w:hint="eastAsia"/>
          <w:lang w:val="en-US" w:eastAsia="zh-CN"/>
        </w:rPr>
        <w:t>CellRanger是10X genomics公司为单细胞RNA测序分析量身打造的数据分析软件。本研究使用CellRanger (Version=7.2.0) 的count命令对这13个样本的fastq文件进行细胞和基因的定量分析。本研究使用了版本号为GRCh38的人类基因组以及注释信息作为参考基因组。由于测序样本为单细胞核测序，相较于单细胞测序，前者包含较多的内含子序列，因此在运行count命令的时候，需要指定 -include-introns 参数，避免产生比对到的基因数目较低的情况。</w:t>
      </w:r>
    </w:p>
    <w:p>
      <w:pPr>
        <w:rPr>
          <w:rFonts w:hint="eastAsia"/>
          <w:lang w:val="en-US" w:eastAsia="zh-CN"/>
        </w:rPr>
      </w:pPr>
      <w:r>
        <w:rPr>
          <w:rFonts w:hint="eastAsia"/>
          <w:lang w:val="en-US" w:eastAsia="zh-CN"/>
        </w:rPr>
        <w:t xml:space="preserve">使用Cell Ranger count </w:t>
      </w:r>
      <w:r>
        <w:rPr>
          <w:rFonts w:hint="default"/>
          <w:lang w:val="en-US" w:eastAsia="zh-CN"/>
        </w:rPr>
        <w:t>完成</w:t>
      </w:r>
      <w:r>
        <w:rPr>
          <w:rFonts w:hint="eastAsia"/>
          <w:lang w:val="en-US" w:eastAsia="zh-CN"/>
        </w:rPr>
        <w:t>对每一个样本的</w:t>
      </w:r>
      <w:r>
        <w:rPr>
          <w:rFonts w:hint="default"/>
          <w:lang w:val="en-US" w:eastAsia="zh-CN"/>
        </w:rPr>
        <w:t>细胞和基因的定量</w:t>
      </w:r>
      <w:r>
        <w:rPr>
          <w:rFonts w:hint="eastAsia"/>
          <w:lang w:val="en-US" w:eastAsia="zh-CN"/>
        </w:rPr>
        <w:t>以后，使用cellranger aggr 命令将13个样本的基因表达矩阵合并为一个，方便后续的处理和分析。</w:t>
      </w:r>
    </w:p>
    <w:p>
      <w:pPr>
        <w:rPr>
          <w:rFonts w:hint="default"/>
          <w:lang w:val="en-US" w:eastAsia="zh-CN"/>
        </w:rPr>
      </w:pPr>
    </w:p>
    <w:p>
      <w:pPr>
        <w:pStyle w:val="4"/>
        <w:bidi w:val="0"/>
        <w:rPr>
          <w:rFonts w:hint="eastAsia"/>
          <w:lang w:val="en-US" w:eastAsia="zh-CN"/>
        </w:rPr>
      </w:pPr>
      <w:r>
        <w:rPr>
          <w:rFonts w:hint="eastAsia"/>
          <w:lang w:val="en-US" w:eastAsia="zh-CN"/>
        </w:rPr>
        <w:t>3.2.3  细胞过滤和细胞类型注释</w:t>
      </w:r>
    </w:p>
    <w:p>
      <w:pPr>
        <w:rPr>
          <w:rFonts w:hint="eastAsia"/>
          <w:lang w:val="en-US" w:eastAsia="zh-CN"/>
        </w:rPr>
      </w:pPr>
      <w:r>
        <w:rPr>
          <w:rFonts w:hint="eastAsia"/>
          <w:lang w:val="en-US" w:eastAsia="zh-CN"/>
        </w:rPr>
        <w:t>为研究孤独症、癫痫以及共患的细胞类型特异性差异表达基因，需要将Velmeshev提供的具有细胞类型注释的基因表达矩阵和3.2.2生成的13个样本的基因表达矩阵合并起来，进行细胞过滤和细胞类型注释。</w:t>
      </w:r>
    </w:p>
    <w:p>
      <w:pPr>
        <w:bidi w:val="0"/>
        <w:rPr>
          <w:rFonts w:hint="eastAsia"/>
          <w:lang w:val="en-US" w:eastAsia="zh-CN"/>
        </w:rPr>
      </w:pPr>
      <w:r>
        <w:rPr>
          <w:rFonts w:hint="eastAsia"/>
          <w:lang w:val="en-US" w:eastAsia="zh-CN"/>
        </w:rPr>
        <w:t>Seurat是一个用于质控、分析和探索单细胞RNA-seq的R包，能够用于鉴定和解释来自单细胞转录本测定的异质性来源，并可以整合成多种类型的单细胞数据。本研究使用Seurat5 (Version=5.0.1)</w:t>
      </w:r>
      <w:r>
        <w:rPr>
          <w:rFonts w:hint="eastAsia" w:ascii="宋体" w:hAnsi="宋体"/>
          <w:color w:val="080000"/>
          <w:sz w:val="24"/>
          <w:szCs w:val="24"/>
        </w:rPr>
        <w:t>(HAO, Y, et al.,2023)</w:t>
      </w:r>
      <w:r>
        <w:rPr>
          <w:rFonts w:hint="eastAsia"/>
          <w:lang w:val="en-US" w:eastAsia="zh-CN"/>
        </w:rPr>
        <w:t>对基因表达矩阵进行过滤，整合和细胞注释。</w:t>
      </w:r>
    </w:p>
    <w:p>
      <w:pPr>
        <w:bidi w:val="0"/>
        <w:rPr>
          <w:rFonts w:hint="eastAsia"/>
          <w:lang w:val="en-US" w:eastAsia="zh-CN"/>
        </w:rPr>
      </w:pPr>
      <w:r>
        <w:rPr>
          <w:rFonts w:hint="eastAsia"/>
          <w:lang w:val="en-US" w:eastAsia="zh-CN"/>
        </w:rPr>
        <w:t>Velmeshev提供的基因表达矩阵具有细胞注释信息，并且通过分析发现这些细胞是经过过滤的，因此没有再对这一批数据进行质控。对于3.2.2中获得的基因表达矩阵，本研究统计了每一个细胞的基因种类数目，检测到的基因数目和线粒体基因的比例，并根据基因种类数目≥499，线粒体基因比例&lt;5%的标准对细胞进行过滤，细胞数目由原来的16880减少到13836。</w:t>
      </w:r>
    </w:p>
    <w:p>
      <w:pPr>
        <w:bidi w:val="0"/>
        <w:rPr>
          <w:rFonts w:hint="eastAsia"/>
          <w:lang w:val="en-US" w:eastAsia="zh-CN"/>
        </w:rPr>
      </w:pPr>
      <w:r>
        <w:rPr>
          <w:rFonts w:hint="eastAsia"/>
          <w:lang w:val="en-US" w:eastAsia="zh-CN"/>
        </w:rPr>
        <w:t>质控过后，使用Seurat5的merge函数将两个数据集合并起来，然后进行归一化，找前3000个高变基因，再对这3000个高变基因进行标准化，然后进行PCA分析，获取前50个主成分。两批数据集存在批次效应，本研究使用Seurat5中的IntegrateLayers函数，指定CCAIntegration对50个主成分进行批次处理。使用CCA批次处理后的前30个主成分进行非线性降维，获取二维的umap坐标和tSNE坐标。</w:t>
      </w:r>
    </w:p>
    <w:p>
      <w:pPr>
        <w:bidi w:val="0"/>
        <w:rPr>
          <w:rFonts w:hint="eastAsia"/>
          <w:lang w:val="en-US" w:eastAsia="zh-CN"/>
        </w:rPr>
      </w:pPr>
      <w:r>
        <w:rPr>
          <w:rFonts w:hint="eastAsia"/>
          <w:lang w:val="en-US" w:eastAsia="zh-CN"/>
        </w:rPr>
        <w:t>使用批次处理后的cca主成分计算细胞的邻接矩阵( k.param=100 )，然后进行聚类。一共得到34个cluster。Velmeshev提供了细胞的注释信息，104559个细胞一共注释为17个细胞类型，本研究根据这些注释信息，对没有确定细胞类型的细胞进行有监督的注释，具体操作如下：首先，根据已经有的注释信息确定每一个cluster更有可能属于哪一个细胞类型，将细胞类型和cluster对应起来；然后对于未注释的细胞，它属于哪一个cluster，就属于那一个对应的细胞类型，以达到细胞类型注释的目的。</w:t>
      </w:r>
    </w:p>
    <w:p>
      <w:pPr>
        <w:bidi w:val="0"/>
        <w:rPr>
          <w:rFonts w:hint="default"/>
          <w:lang w:val="en-US" w:eastAsia="zh-CN"/>
        </w:rPr>
      </w:pPr>
    </w:p>
    <w:p>
      <w:pPr>
        <w:pStyle w:val="3"/>
        <w:bidi w:val="0"/>
        <w:rPr>
          <w:rFonts w:hint="eastAsia"/>
          <w:lang w:val="en-US" w:eastAsia="zh-CN"/>
        </w:rPr>
      </w:pPr>
      <w:r>
        <w:rPr>
          <w:rFonts w:hint="eastAsia"/>
          <w:lang w:val="en-US" w:eastAsia="zh-CN"/>
        </w:rPr>
        <w:t>3.3  差异表达分析</w:t>
      </w:r>
    </w:p>
    <w:p>
      <w:pPr>
        <w:rPr>
          <w:rFonts w:hint="eastAsia"/>
          <w:lang w:val="en-US" w:eastAsia="zh-CN"/>
        </w:rPr>
      </w:pPr>
      <w:r>
        <w:rPr>
          <w:rFonts w:hint="eastAsia"/>
          <w:lang w:val="en-US" w:eastAsia="zh-CN"/>
        </w:rPr>
        <w:t>两批数据合并后一共有118395个细胞，注释得到15个细胞类型。本研究只选取了采样位置为PFC，细胞类型为星形胶质细胞( AST )的细胞进行后续分析。用于后续分析的细胞一共有9216个，来自34个个体，其中6个孤独症患者，7个癫痫患者，7个共患个体以及14个正常人。使用Seurat5的FindMarkers函数，默认参数分别获得孤独症患者和正常人、癫痫患者和正常人以及共患患者和正常人的差异表的基因，并依据矫正后的p值进行过滤( p_val_ad &lt; 0.05)。</w:t>
      </w:r>
    </w:p>
    <w:p>
      <w:pPr>
        <w:rPr>
          <w:rFonts w:hint="eastAsia"/>
          <w:lang w:val="en-US" w:eastAsia="zh-CN"/>
        </w:rPr>
      </w:pPr>
      <w:r>
        <w:rPr>
          <w:rFonts w:hint="eastAsia"/>
          <w:lang w:val="en-US" w:eastAsia="zh-CN"/>
        </w:rPr>
        <w:t>对于以上根据校正后的p值进行过滤的差异表达基因，本研究定义log2FC&gt;1为上调的差异表达基因( up )，log2FC&lt; -1 的基因为下调的差异表达基因( down )，其他的为无显著差异( ns )。</w:t>
      </w:r>
    </w:p>
    <w:p>
      <w:pPr>
        <w:rPr>
          <w:rFonts w:hint="default"/>
          <w:lang w:val="en-US" w:eastAsia="zh-CN"/>
        </w:rPr>
      </w:pPr>
    </w:p>
    <w:p>
      <w:pPr>
        <w:pStyle w:val="3"/>
        <w:bidi w:val="0"/>
        <w:rPr>
          <w:rFonts w:hint="eastAsia"/>
          <w:lang w:val="en-US" w:eastAsia="zh-CN"/>
        </w:rPr>
      </w:pPr>
      <w:r>
        <w:rPr>
          <w:rFonts w:hint="eastAsia"/>
          <w:lang w:val="en-US" w:eastAsia="zh-CN"/>
        </w:rPr>
        <w:t>3.4  富集分析</w:t>
      </w:r>
    </w:p>
    <w:p>
      <w:pPr>
        <w:rPr>
          <w:rFonts w:hint="eastAsia"/>
          <w:lang w:val="en-US" w:eastAsia="zh-CN"/>
        </w:rPr>
      </w:pPr>
      <w:r>
        <w:rPr>
          <w:rFonts w:hint="eastAsia"/>
          <w:lang w:val="en-US" w:eastAsia="zh-CN"/>
        </w:rPr>
        <w:t>本研究使用R包clusterpRrofiler( Version=4.6.2 )</w:t>
      </w:r>
      <w:r>
        <w:rPr>
          <w:rFonts w:hint="eastAsia" w:ascii="宋体" w:hAnsi="宋体"/>
          <w:color w:val="080000"/>
          <w:sz w:val="24"/>
          <w:szCs w:val="24"/>
        </w:rPr>
        <w:t>(WU, T, et al.,2021)</w:t>
      </w:r>
      <w:r>
        <w:rPr>
          <w:rFonts w:hint="eastAsia"/>
          <w:lang w:val="en-US" w:eastAsia="zh-CN"/>
        </w:rPr>
        <w:t>对差异表达基因进行GO富集分析和KEGG富集分析。对于GO富集分析，enrichGO函数使用的注释包为org.Hs.eg.db( Version=3.16.0 )；对于Kegg富集分析，enrichKEGG指定的organism参数为hsa( Homo Sapiens )。</w:t>
      </w:r>
    </w:p>
    <w:p>
      <w:pPr>
        <w:rPr>
          <w:rFonts w:hint="default"/>
          <w:lang w:val="en-US" w:eastAsia="zh-CN"/>
        </w:rPr>
      </w:pPr>
    </w:p>
    <w:p>
      <w:pPr>
        <w:pStyle w:val="3"/>
        <w:bidi w:val="0"/>
        <w:rPr>
          <w:rFonts w:hint="eastAsia"/>
          <w:lang w:val="en-US" w:eastAsia="zh-CN"/>
        </w:rPr>
      </w:pPr>
      <w:r>
        <w:rPr>
          <w:rFonts w:hint="eastAsia"/>
          <w:lang w:val="en-US" w:eastAsia="zh-CN"/>
        </w:rPr>
        <w:t>3.5  WGCNA分析</w:t>
      </w:r>
    </w:p>
    <w:p>
      <w:pPr>
        <w:rPr>
          <w:rFonts w:hint="eastAsia"/>
          <w:lang w:val="en-US" w:eastAsia="zh-CN"/>
        </w:rPr>
      </w:pPr>
      <w:r>
        <w:rPr>
          <w:rFonts w:hint="eastAsia"/>
          <w:lang w:val="en-US" w:eastAsia="zh-CN"/>
        </w:rPr>
        <w:t>本研究使用R包WGCNA( Version=1.72-1 )</w:t>
      </w:r>
      <w:r>
        <w:rPr>
          <w:rFonts w:hint="eastAsia" w:ascii="宋体" w:hAnsi="宋体"/>
          <w:color w:val="080000"/>
          <w:sz w:val="24"/>
          <w:szCs w:val="24"/>
        </w:rPr>
        <w:t>(LANGFELDER, P and HORVATH, S,2008)</w:t>
      </w:r>
      <w:r>
        <w:rPr>
          <w:rFonts w:hint="eastAsia"/>
          <w:lang w:val="en-US" w:eastAsia="zh-CN"/>
        </w:rPr>
        <w:t>进行WGCNA分析。使用单细胞基因表达矩阵做WGCNA分析，计算量大，并且效果很不理想。本研究通过Seurat5的AggregateExpression函数，将来自同一个个体的细胞的基因表达量直接相加以聚合起来，将个体的基因表达计数矩阵转化为log( cpm+1 ) 基因表达矩阵，用于进行WGCNA分析。</w:t>
      </w:r>
    </w:p>
    <w:p>
      <w:pPr>
        <w:rPr>
          <w:rFonts w:hint="default"/>
          <w:lang w:val="en-US" w:eastAsia="zh-CN"/>
        </w:rPr>
      </w:pPr>
    </w:p>
    <w:p>
      <w:pPr>
        <w:pStyle w:val="4"/>
        <w:bidi w:val="0"/>
        <w:rPr>
          <w:rFonts w:hint="eastAsia"/>
          <w:lang w:val="en-US" w:eastAsia="zh-CN"/>
        </w:rPr>
      </w:pPr>
      <w:r>
        <w:rPr>
          <w:rFonts w:hint="eastAsia"/>
          <w:lang w:val="en-US" w:eastAsia="zh-CN"/>
        </w:rPr>
        <w:t>3.5.1  共表达基因模块识别和网络构建</w:t>
      </w:r>
    </w:p>
    <w:p>
      <w:pPr>
        <w:ind w:left="0" w:leftChars="0" w:firstLine="0" w:firstLineChars="0"/>
        <w:rPr>
          <w:rFonts w:hint="eastAsia"/>
          <w:lang w:val="en-US" w:eastAsia="zh-CN"/>
        </w:rPr>
      </w:pPr>
      <w:r>
        <w:rPr>
          <w:rFonts w:hint="eastAsia"/>
          <w:lang w:val="en-US" w:eastAsia="zh-CN"/>
        </w:rPr>
        <w:t>对于3.3中获得的3组差异表达基因取并集，从个体基因表达矩阵中选出对应的样本和差异表达基因,确定软阈值以后，使用blockwiseModules(TOMType = "unsigned",minModuleSize = 10,mergeCutHeight = 0.25)识别网络模块；依次计算基因表达矩阵的邻接矩阵和拓扑重叠矩阵，完成网络的构建。</w:t>
      </w:r>
    </w:p>
    <w:p>
      <w:pPr>
        <w:rPr>
          <w:rFonts w:hint="default"/>
          <w:lang w:val="en-US" w:eastAsia="zh-CN"/>
        </w:rPr>
      </w:pPr>
    </w:p>
    <w:p>
      <w:pPr>
        <w:pStyle w:val="4"/>
        <w:bidi w:val="0"/>
        <w:rPr>
          <w:rFonts w:hint="default"/>
          <w:lang w:val="en-US" w:eastAsia="zh-CN"/>
        </w:rPr>
      </w:pPr>
      <w:r>
        <w:rPr>
          <w:rFonts w:hint="eastAsia"/>
          <w:lang w:val="en-US" w:eastAsia="zh-CN"/>
        </w:rPr>
        <w:t>3.5.2  Hub基因识别和网络可视化</w:t>
      </w:r>
    </w:p>
    <w:p>
      <w:pPr>
        <w:rPr>
          <w:rFonts w:hint="eastAsia"/>
          <w:lang w:val="en-US" w:eastAsia="zh-CN"/>
        </w:rPr>
      </w:pPr>
      <w:r>
        <w:rPr>
          <w:rFonts w:hint="eastAsia"/>
          <w:lang w:val="en-US" w:eastAsia="zh-CN"/>
        </w:rPr>
        <w:t>本研究</w:t>
      </w:r>
      <w:r>
        <w:rPr>
          <w:rFonts w:hint="default"/>
          <w:lang w:val="en-US" w:eastAsia="zh-CN"/>
        </w:rPr>
        <w:t>通过计算KME值</w:t>
      </w:r>
      <w:r>
        <w:rPr>
          <w:rFonts w:hint="eastAsia"/>
          <w:lang w:val="en-US" w:eastAsia="zh-CN"/>
        </w:rPr>
        <w:t>(</w:t>
      </w:r>
      <w:r>
        <w:rPr>
          <w:rFonts w:hint="default"/>
          <w:lang w:val="en-US" w:eastAsia="zh-CN"/>
        </w:rPr>
        <w:t>module eigengene-based connectivity</w:t>
      </w:r>
      <w:r>
        <w:rPr>
          <w:rFonts w:hint="eastAsia"/>
          <w:lang w:val="en-US" w:eastAsia="zh-CN"/>
        </w:rPr>
        <w:t>)</w:t>
      </w:r>
      <w:r>
        <w:rPr>
          <w:rFonts w:hint="default"/>
          <w:lang w:val="en-US" w:eastAsia="zh-CN"/>
        </w:rPr>
        <w:t>来衡量基因和模块的关系，选择</w:t>
      </w:r>
      <w:r>
        <w:rPr>
          <w:rFonts w:hint="eastAsia"/>
          <w:lang w:val="en-US" w:eastAsia="zh-CN"/>
        </w:rPr>
        <w:t>|</w:t>
      </w:r>
      <w:r>
        <w:rPr>
          <w:rFonts w:hint="default"/>
          <w:lang w:val="en-US" w:eastAsia="zh-CN"/>
        </w:rPr>
        <w:t>kME</w:t>
      </w:r>
      <w:r>
        <w:rPr>
          <w:rFonts w:hint="eastAsia"/>
          <w:lang w:val="en-US" w:eastAsia="zh-CN"/>
        </w:rPr>
        <w:t>|</w:t>
      </w:r>
      <w:r>
        <w:rPr>
          <w:rFonts w:hint="default"/>
          <w:lang w:val="en-US" w:eastAsia="zh-CN"/>
        </w:rPr>
        <w:t xml:space="preserve"> &gt;=</w:t>
      </w:r>
      <w:r>
        <w:rPr>
          <w:rFonts w:hint="eastAsia"/>
          <w:lang w:val="en-US" w:eastAsia="zh-CN"/>
        </w:rPr>
        <w:t xml:space="preserve"> 某个</w:t>
      </w:r>
      <w:r>
        <w:rPr>
          <w:rFonts w:hint="default"/>
          <w:lang w:val="en-US" w:eastAsia="zh-CN"/>
        </w:rPr>
        <w:t>阈值</w:t>
      </w:r>
      <w:r>
        <w:rPr>
          <w:rFonts w:hint="eastAsia"/>
          <w:lang w:val="en-US" w:eastAsia="zh-CN"/>
        </w:rPr>
        <w:t>(比如</w:t>
      </w:r>
      <w:r>
        <w:rPr>
          <w:rFonts w:hint="default"/>
          <w:lang w:val="en-US" w:eastAsia="zh-CN"/>
        </w:rPr>
        <w:t>0.</w:t>
      </w:r>
      <w:r>
        <w:rPr>
          <w:rFonts w:hint="eastAsia"/>
          <w:lang w:val="en-US" w:eastAsia="zh-CN"/>
        </w:rPr>
        <w:t>99)</w:t>
      </w:r>
      <w:r>
        <w:rPr>
          <w:rFonts w:hint="default"/>
          <w:lang w:val="en-US" w:eastAsia="zh-CN"/>
        </w:rPr>
        <w:t>来筛选出hub gene</w:t>
      </w:r>
      <w:r>
        <w:rPr>
          <w:rFonts w:hint="eastAsia"/>
          <w:lang w:val="en-US" w:eastAsia="zh-CN"/>
        </w:rPr>
        <w:t>，并使用cytoscape( Version=3.9.1 )</w:t>
      </w:r>
      <w:r>
        <w:rPr>
          <w:rFonts w:hint="eastAsia" w:ascii="宋体" w:hAnsi="宋体"/>
          <w:color w:val="080000"/>
          <w:sz w:val="24"/>
          <w:szCs w:val="24"/>
        </w:rPr>
        <w:t>(SHANNON, P, et al.,2003)</w:t>
      </w:r>
      <w:r>
        <w:rPr>
          <w:rFonts w:hint="eastAsia"/>
          <w:lang w:val="en-US" w:eastAsia="zh-CN"/>
        </w:rPr>
        <w:t>对和权重前500的边进行网络可视化。</w:t>
      </w:r>
    </w:p>
    <w:p>
      <w:pPr>
        <w:rPr>
          <w:rFonts w:hint="default"/>
          <w:lang w:val="en-US" w:eastAsia="zh-CN"/>
        </w:rPr>
      </w:pPr>
    </w:p>
    <w:p>
      <w:pPr>
        <w:pStyle w:val="2"/>
        <w:bidi w:val="0"/>
        <w:rPr>
          <w:rFonts w:hint="default"/>
          <w:lang w:val="en-US" w:eastAsia="zh-CN"/>
        </w:rPr>
      </w:pPr>
      <w:r>
        <w:rPr>
          <w:rFonts w:hint="eastAsia"/>
          <w:lang w:val="en-US" w:eastAsia="zh-CN"/>
        </w:rPr>
        <w:t>4  结果与结论</w:t>
      </w:r>
    </w:p>
    <w:p>
      <w:pPr>
        <w:pStyle w:val="3"/>
        <w:bidi w:val="0"/>
        <w:rPr>
          <w:rFonts w:hint="eastAsia"/>
          <w:lang w:val="en-US" w:eastAsia="zh-CN"/>
        </w:rPr>
      </w:pPr>
      <w:r>
        <w:rPr>
          <w:rFonts w:hint="eastAsia"/>
          <w:lang w:val="en-US" w:eastAsia="zh-CN"/>
        </w:rPr>
        <w:t>4.1  细胞聚类结果</w:t>
      </w:r>
    </w:p>
    <w:p>
      <w:pPr>
        <w:bidi w:val="0"/>
        <w:rPr>
          <w:rFonts w:hint="eastAsia"/>
          <w:lang w:val="en-US" w:eastAsia="zh-CN"/>
        </w:rPr>
      </w:pPr>
      <w:r>
        <w:rPr>
          <w:rFonts w:hint="eastAsia"/>
          <w:lang w:val="en-US" w:eastAsia="zh-CN"/>
        </w:rPr>
        <w:t>从图1可以看出，进行批次处理以后，118395个细胞聚类为34个cluster，多数cluster聚为一团，少部分cluster，比如cluster_13在tSNE非线性降维以后可以分成两团相聚相对较远的子cluster。</w:t>
      </w:r>
    </w:p>
    <w:p>
      <w:pPr>
        <w:bidi w:val="0"/>
        <w:rPr>
          <w:rFonts w:hint="eastAsia"/>
          <w:lang w:val="en-US" w:eastAsia="zh-CN"/>
        </w:rPr>
      </w:pPr>
    </w:p>
    <w:p>
      <w:pPr>
        <w:bidi w:val="0"/>
        <w:jc w:val="center"/>
      </w:pPr>
      <w:r>
        <w:drawing>
          <wp:inline distT="0" distB="0" distL="114300" distR="114300">
            <wp:extent cx="3974465" cy="2967990"/>
            <wp:effectExtent l="0" t="0" r="635" b="381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3"/>
                    <a:stretch>
                      <a:fillRect/>
                    </a:stretch>
                  </pic:blipFill>
                  <pic:spPr>
                    <a:xfrm>
                      <a:off x="0" y="0"/>
                      <a:ext cx="3974465" cy="2967990"/>
                    </a:xfrm>
                    <a:prstGeom prst="rect">
                      <a:avLst/>
                    </a:prstGeom>
                    <a:noFill/>
                    <a:ln>
                      <a:noFill/>
                    </a:ln>
                  </pic:spPr>
                </pic:pic>
              </a:graphicData>
            </a:graphic>
          </wp:inline>
        </w:drawing>
      </w:r>
    </w:p>
    <w:p>
      <w:pPr>
        <w:pStyle w:val="16"/>
        <w:bidi w:val="0"/>
        <w:rPr>
          <w:rFonts w:hint="eastAsia"/>
          <w:lang w:val="en-US" w:eastAsia="zh-CN"/>
        </w:rPr>
      </w:pPr>
      <w:r>
        <w:rPr>
          <w:rFonts w:hint="eastAsia"/>
          <w:lang w:val="en-US" w:eastAsia="zh-CN"/>
        </w:rPr>
        <w:t>图1  细胞聚类结果</w:t>
      </w:r>
    </w:p>
    <w:p>
      <w:pPr>
        <w:bidi w:val="0"/>
        <w:rPr>
          <w:rFonts w:hint="eastAsia"/>
          <w:lang w:val="en-US" w:eastAsia="zh-CN"/>
        </w:rPr>
      </w:pPr>
      <w:r>
        <w:rPr>
          <w:rFonts w:hint="eastAsia"/>
          <w:lang w:val="en-US" w:eastAsia="zh-CN"/>
        </w:rPr>
        <w:t>从图2可以看出，有监督地用眼睛对每一个cluster属于哪一个细胞类型进行注释效果十分好，相同细胞类型的细胞在tSNE坐标上相聚更近。</w:t>
      </w:r>
    </w:p>
    <w:p>
      <w:pPr>
        <w:bidi w:val="0"/>
        <w:rPr>
          <w:rFonts w:hint="eastAsia"/>
          <w:lang w:val="en-US" w:eastAsia="zh-CN"/>
        </w:rPr>
      </w:pPr>
    </w:p>
    <w:p>
      <w:pPr>
        <w:ind w:left="0" w:leftChars="0" w:firstLine="0" w:firstLineChars="0"/>
        <w:jc w:val="center"/>
      </w:pPr>
      <w:r>
        <w:drawing>
          <wp:inline distT="0" distB="0" distL="114300" distR="114300">
            <wp:extent cx="4181475" cy="2966085"/>
            <wp:effectExtent l="0" t="0" r="9525" b="57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4"/>
                    <a:stretch>
                      <a:fillRect/>
                    </a:stretch>
                  </pic:blipFill>
                  <pic:spPr>
                    <a:xfrm>
                      <a:off x="0" y="0"/>
                      <a:ext cx="4181475" cy="2966085"/>
                    </a:xfrm>
                    <a:prstGeom prst="rect">
                      <a:avLst/>
                    </a:prstGeom>
                    <a:noFill/>
                    <a:ln>
                      <a:noFill/>
                    </a:ln>
                  </pic:spPr>
                </pic:pic>
              </a:graphicData>
            </a:graphic>
          </wp:inline>
        </w:drawing>
      </w:r>
    </w:p>
    <w:p>
      <w:pPr>
        <w:pStyle w:val="16"/>
        <w:bidi w:val="0"/>
        <w:rPr>
          <w:rFonts w:hint="default"/>
          <w:lang w:val="en-US" w:eastAsia="zh-CN"/>
        </w:rPr>
      </w:pPr>
      <w:r>
        <w:rPr>
          <w:rFonts w:hint="eastAsia"/>
          <w:lang w:val="en-US" w:eastAsia="zh-CN"/>
        </w:rPr>
        <w:t>图2  细胞注释结果</w:t>
      </w:r>
    </w:p>
    <w:p>
      <w:pPr>
        <w:ind w:left="0" w:leftChars="0" w:firstLine="0" w:firstLineChars="0"/>
        <w:rPr>
          <w:rFonts w:hint="eastAsia"/>
          <w:lang w:val="en-US" w:eastAsia="zh-CN"/>
        </w:rPr>
      </w:pPr>
    </w:p>
    <w:p>
      <w:pPr>
        <w:pStyle w:val="3"/>
        <w:bidi w:val="0"/>
        <w:rPr>
          <w:rFonts w:hint="eastAsia"/>
          <w:lang w:val="en-US" w:eastAsia="zh-CN"/>
        </w:rPr>
      </w:pPr>
      <w:r>
        <w:rPr>
          <w:rFonts w:hint="eastAsia"/>
          <w:lang w:val="en-US" w:eastAsia="zh-CN"/>
        </w:rPr>
        <w:t>4.2  星形胶状细胞的差异表达分析</w:t>
      </w:r>
    </w:p>
    <w:p>
      <w:pPr>
        <w:bidi w:val="0"/>
        <w:rPr>
          <w:rFonts w:hint="eastAsia"/>
          <w:lang w:val="en-US" w:eastAsia="zh-CN"/>
        </w:rPr>
      </w:pPr>
      <w:r>
        <w:rPr>
          <w:rFonts w:hint="eastAsia"/>
          <w:lang w:val="en-US" w:eastAsia="zh-CN"/>
        </w:rPr>
        <w:t>如图3所示，孤独症一共有563个差异表达基因，其中515个基因在ASD样本中为下调，48个基因为上调；如图4所示癫痫一共有2254个差异表达基因，其中1230个基因为下调，1024个基因为上调；如图5所示，共患一共有727个差异表达基因，其中694个为下调，33个为上调。</w:t>
      </w:r>
    </w:p>
    <w:p>
      <w:pPr>
        <w:bidi w:val="0"/>
        <w:rPr>
          <w:rFonts w:hint="eastAsia"/>
          <w:lang w:val="en-US" w:eastAsia="zh-CN"/>
        </w:rPr>
      </w:pPr>
    </w:p>
    <w:p>
      <w:pPr>
        <w:ind w:left="0" w:leftChars="0" w:firstLine="0" w:firstLineChars="0"/>
        <w:jc w:val="center"/>
      </w:pPr>
      <w:r>
        <w:drawing>
          <wp:inline distT="0" distB="0" distL="114300" distR="114300">
            <wp:extent cx="4489450" cy="2160270"/>
            <wp:effectExtent l="0" t="0" r="6350" b="1143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5"/>
                    <a:stretch>
                      <a:fillRect/>
                    </a:stretch>
                  </pic:blipFill>
                  <pic:spPr>
                    <a:xfrm>
                      <a:off x="0" y="0"/>
                      <a:ext cx="4489450" cy="2160270"/>
                    </a:xfrm>
                    <a:prstGeom prst="rect">
                      <a:avLst/>
                    </a:prstGeom>
                    <a:noFill/>
                    <a:ln>
                      <a:noFill/>
                    </a:ln>
                  </pic:spPr>
                </pic:pic>
              </a:graphicData>
            </a:graphic>
          </wp:inline>
        </w:drawing>
      </w:r>
    </w:p>
    <w:p>
      <w:pPr>
        <w:pStyle w:val="16"/>
        <w:bidi w:val="0"/>
        <w:rPr>
          <w:rFonts w:hint="eastAsia"/>
          <w:lang w:val="en-US" w:eastAsia="zh-CN"/>
        </w:rPr>
      </w:pPr>
      <w:r>
        <w:rPr>
          <w:rFonts w:hint="eastAsia"/>
          <w:lang w:val="en-US" w:eastAsia="zh-CN"/>
        </w:rPr>
        <w:t>图3  ASD和Control的火山图</w:t>
      </w:r>
    </w:p>
    <w:p>
      <w:pPr>
        <w:jc w:val="center"/>
      </w:pPr>
      <w:r>
        <w:drawing>
          <wp:inline distT="0" distB="0" distL="114300" distR="114300">
            <wp:extent cx="4495165" cy="2160270"/>
            <wp:effectExtent l="0" t="0" r="635" b="1143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6"/>
                    <a:stretch>
                      <a:fillRect/>
                    </a:stretch>
                  </pic:blipFill>
                  <pic:spPr>
                    <a:xfrm>
                      <a:off x="0" y="0"/>
                      <a:ext cx="4495165" cy="2160270"/>
                    </a:xfrm>
                    <a:prstGeom prst="rect">
                      <a:avLst/>
                    </a:prstGeom>
                    <a:noFill/>
                    <a:ln>
                      <a:noFill/>
                    </a:ln>
                  </pic:spPr>
                </pic:pic>
              </a:graphicData>
            </a:graphic>
          </wp:inline>
        </w:drawing>
      </w:r>
    </w:p>
    <w:p>
      <w:pPr>
        <w:pStyle w:val="16"/>
        <w:bidi w:val="0"/>
        <w:rPr>
          <w:rFonts w:hint="eastAsia"/>
          <w:lang w:val="en-US" w:eastAsia="zh-CN"/>
        </w:rPr>
      </w:pPr>
      <w:r>
        <w:rPr>
          <w:rFonts w:hint="eastAsia"/>
          <w:lang w:val="en-US" w:eastAsia="zh-CN"/>
        </w:rPr>
        <w:t>图4  Seizure和Control的火山图</w:t>
      </w:r>
    </w:p>
    <w:p>
      <w:pPr>
        <w:rPr>
          <w:rFonts w:hint="default"/>
          <w:lang w:val="en-US" w:eastAsia="zh-CN"/>
        </w:rPr>
      </w:pPr>
    </w:p>
    <w:p>
      <w:pPr>
        <w:ind w:left="0" w:leftChars="0" w:firstLine="0" w:firstLineChars="0"/>
        <w:jc w:val="center"/>
      </w:pPr>
      <w:r>
        <w:drawing>
          <wp:inline distT="0" distB="0" distL="114300" distR="114300">
            <wp:extent cx="4537710" cy="2160270"/>
            <wp:effectExtent l="0" t="0" r="8890" b="1143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7"/>
                    <a:stretch>
                      <a:fillRect/>
                    </a:stretch>
                  </pic:blipFill>
                  <pic:spPr>
                    <a:xfrm>
                      <a:off x="0" y="0"/>
                      <a:ext cx="4537710" cy="2160270"/>
                    </a:xfrm>
                    <a:prstGeom prst="rect">
                      <a:avLst/>
                    </a:prstGeom>
                    <a:noFill/>
                    <a:ln>
                      <a:noFill/>
                    </a:ln>
                  </pic:spPr>
                </pic:pic>
              </a:graphicData>
            </a:graphic>
          </wp:inline>
        </w:drawing>
      </w:r>
    </w:p>
    <w:p>
      <w:pPr>
        <w:pStyle w:val="16"/>
        <w:bidi w:val="0"/>
        <w:rPr>
          <w:rFonts w:hint="eastAsia"/>
          <w:lang w:val="en-US" w:eastAsia="zh-CN"/>
        </w:rPr>
      </w:pPr>
      <w:r>
        <w:rPr>
          <w:rFonts w:hint="eastAsia"/>
          <w:lang w:val="en-US" w:eastAsia="zh-CN"/>
        </w:rPr>
        <w:t>图5  共患和Control的火山图</w:t>
      </w:r>
    </w:p>
    <w:p>
      <w:pPr>
        <w:rPr>
          <w:rFonts w:hint="eastAsia"/>
          <w:lang w:val="en-US" w:eastAsia="zh-CN"/>
        </w:rPr>
      </w:pPr>
    </w:p>
    <w:p>
      <w:pPr>
        <w:rPr>
          <w:rFonts w:hint="eastAsia"/>
          <w:lang w:val="en-US" w:eastAsia="zh-CN"/>
        </w:rPr>
      </w:pPr>
      <w:r>
        <w:rPr>
          <w:rFonts w:hint="eastAsia"/>
          <w:lang w:val="en-US" w:eastAsia="zh-CN"/>
        </w:rPr>
        <w:t>从火山图可以看出，对于共患和孤独症样本的单细胞差异表达基因的数目相对较少，而癫痫个体的的差异表达基因的数目要远远大于共患和孤独症样本的。并且对于孤独症和共患个体，绝大多数差异表达基因为负调控，而癫痫个体的差异表达基因中正调控和负调控的比例接近1:1。从火山图中还可以看出，Log2FC值的变化存在断层，合并后的单细胞RNA Seq的差异表达基因的倍数变化不连续。</w:t>
      </w:r>
    </w:p>
    <w:p>
      <w:pPr>
        <w:rPr>
          <w:rFonts w:hint="default"/>
          <w:lang w:val="en-US" w:eastAsia="zh-CN"/>
        </w:rPr>
      </w:pPr>
    </w:p>
    <w:p>
      <w:pPr>
        <w:pStyle w:val="3"/>
        <w:bidi w:val="0"/>
        <w:rPr>
          <w:rFonts w:hint="eastAsia"/>
          <w:lang w:val="en-US" w:eastAsia="zh-CN"/>
        </w:rPr>
      </w:pPr>
      <w:r>
        <w:rPr>
          <w:rFonts w:hint="eastAsia"/>
          <w:lang w:val="en-US" w:eastAsia="zh-CN"/>
        </w:rPr>
        <w:t>4.3  差异表达基因富集分析</w:t>
      </w:r>
    </w:p>
    <w:p>
      <w:pPr>
        <w:pStyle w:val="4"/>
        <w:bidi w:val="0"/>
        <w:rPr>
          <w:rFonts w:hint="default"/>
          <w:lang w:val="en-US" w:eastAsia="zh-CN"/>
        </w:rPr>
      </w:pPr>
      <w:r>
        <w:rPr>
          <w:rFonts w:hint="eastAsia"/>
          <w:lang w:val="en-US" w:eastAsia="zh-CN"/>
        </w:rPr>
        <w:t>4.3.1  GO富集</w:t>
      </w:r>
    </w:p>
    <w:p>
      <w:pPr>
        <w:bidi w:val="0"/>
        <w:rPr>
          <w:rFonts w:hint="eastAsia"/>
          <w:lang w:val="en-US" w:eastAsia="zh-CN"/>
        </w:rPr>
      </w:pPr>
      <w:r>
        <w:rPr>
          <w:rFonts w:hint="eastAsia"/>
          <w:lang w:val="en-US" w:eastAsia="zh-CN"/>
        </w:rPr>
        <w:t>本研究分别对孤独症，癫痫和共患的差异表达基因做GO富集分析，从图6可以看出，一共有41个GO Term是孤独症、癫痫和共患所共有的，孤独症、癫痫和共患各自特有的GO Term的数目分别是2，105和9。</w:t>
      </w:r>
    </w:p>
    <w:p>
      <w:pPr>
        <w:bidi w:val="0"/>
        <w:rPr>
          <w:rFonts w:hint="default"/>
          <w:lang w:val="en-US" w:eastAsia="zh-CN"/>
        </w:rPr>
      </w:pPr>
      <w:r>
        <w:rPr>
          <w:rFonts w:hint="eastAsia"/>
          <w:lang w:val="en-US" w:eastAsia="zh-CN"/>
        </w:rPr>
        <w:t>通过对41个共有的GO Term进行分析发现，这些Term涉及到多种蛋白质复合物和酶的活动，与ATP的合成和代谢过程，细胞内的呼吸过程、质子跨越细胞膜、蛋白质翻译以及细胞形态的维持相关，由此可以看出，无论是孤独症、癫痫还是共患，处于疾病状态下的星形胶质细胞的能量代谢、蛋白质翻译甚至细胞的形态均存在异常</w:t>
      </w:r>
    </w:p>
    <w:p>
      <w:pPr>
        <w:bidi w:val="0"/>
        <w:rPr>
          <w:rFonts w:hint="default"/>
          <w:lang w:val="en-US" w:eastAsia="zh-CN"/>
        </w:rPr>
      </w:pPr>
    </w:p>
    <w:p>
      <w:pPr>
        <w:bidi w:val="0"/>
        <w:jc w:val="center"/>
      </w:pPr>
      <w:r>
        <w:drawing>
          <wp:inline distT="0" distB="0" distL="114300" distR="114300">
            <wp:extent cx="3035935" cy="2879725"/>
            <wp:effectExtent l="0" t="0" r="12065"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3035935" cy="2879725"/>
                    </a:xfrm>
                    <a:prstGeom prst="rect">
                      <a:avLst/>
                    </a:prstGeom>
                    <a:noFill/>
                    <a:ln>
                      <a:noFill/>
                    </a:ln>
                  </pic:spPr>
                </pic:pic>
              </a:graphicData>
            </a:graphic>
          </wp:inline>
        </w:drawing>
      </w:r>
    </w:p>
    <w:p>
      <w:pPr>
        <w:bidi w:val="0"/>
        <w:jc w:val="center"/>
        <w:rPr>
          <w:rFonts w:hint="eastAsia"/>
          <w:lang w:val="en-US" w:eastAsia="zh-CN"/>
        </w:rPr>
      </w:pPr>
      <w:r>
        <w:rPr>
          <w:rFonts w:hint="eastAsia"/>
          <w:lang w:val="en-US" w:eastAsia="zh-CN"/>
        </w:rPr>
        <w:t>图6  GO富集韦恩图</w:t>
      </w:r>
    </w:p>
    <w:p>
      <w:pPr>
        <w:bidi w:val="0"/>
        <w:jc w:val="center"/>
        <w:rPr>
          <w:rFonts w:hint="eastAsia"/>
          <w:lang w:val="en-US" w:eastAsia="zh-CN"/>
        </w:rPr>
      </w:pPr>
    </w:p>
    <w:p>
      <w:pPr>
        <w:bidi w:val="0"/>
        <w:rPr>
          <w:rFonts w:hint="eastAsia"/>
          <w:lang w:val="en-US" w:eastAsia="zh-CN"/>
        </w:rPr>
      </w:pPr>
      <w:r>
        <w:rPr>
          <w:rFonts w:hint="eastAsia"/>
          <w:lang w:val="en-US" w:eastAsia="zh-CN"/>
        </w:rPr>
        <w:t>孤独症所特有的两个GO Term分别时cell division site和ligase activity。cell division site的富集表明孤独症个体的星形胶质细胞的细胞周期调控过程过程受到了影响；ligase activity的富集表型星形胶质细胞的连接酶活性发生了显著变化，这可能涉及到DNA修复、蛋白质修饰等分子过程的调节。</w:t>
      </w:r>
    </w:p>
    <w:p>
      <w:pPr>
        <w:bidi w:val="0"/>
        <w:rPr>
          <w:rFonts w:hint="eastAsia"/>
          <w:lang w:val="en-US" w:eastAsia="zh-CN"/>
        </w:rPr>
      </w:pPr>
      <w:r>
        <w:rPr>
          <w:rFonts w:hint="eastAsia"/>
          <w:lang w:val="en-US" w:eastAsia="zh-CN"/>
        </w:rPr>
        <w:t>癫痫所特有的GO Term数目较多，通过分析发现这些Term和有氧电子传递、呼吸电子传递、线粒体呼吸链复合物的组装和线粒体电子传递等能量代谢过程相关；与神经元突触的组织和结构相关；与对钙离子的相应和钙离子跨膜转运蛋白的活性相关。由此可以看出，癫痫影响星形胶质细胞的代谢活动的机制和孤独症不同；癫痫可能和胶质细胞对钙离子的反应和转运存在联系。</w:t>
      </w:r>
    </w:p>
    <w:p>
      <w:pPr>
        <w:bidi w:val="0"/>
        <w:rPr>
          <w:rFonts w:hint="eastAsia"/>
          <w:lang w:val="en-US" w:eastAsia="zh-CN"/>
        </w:rPr>
      </w:pPr>
      <w:r>
        <w:rPr>
          <w:rFonts w:hint="eastAsia"/>
          <w:lang w:val="en-US" w:eastAsia="zh-CN"/>
        </w:rPr>
        <w:t>对于共患的差异表达基因，通过分析发现这些GO Term和蛋白质折叠相关，和MHC I类蛋白质结合相关；并且共患个体的星形胶质细胞对类固醇激素、糖皮质激素的响应存在异常。</w:t>
      </w:r>
    </w:p>
    <w:p>
      <w:pPr>
        <w:bidi w:val="0"/>
        <w:rPr>
          <w:rFonts w:hint="eastAsia"/>
          <w:lang w:val="en-US" w:eastAsia="zh-CN"/>
        </w:rPr>
      </w:pPr>
    </w:p>
    <w:p>
      <w:pPr>
        <w:pStyle w:val="4"/>
        <w:bidi w:val="0"/>
        <w:rPr>
          <w:rFonts w:hint="eastAsia"/>
          <w:lang w:val="en-US" w:eastAsia="zh-CN"/>
        </w:rPr>
      </w:pPr>
      <w:r>
        <w:rPr>
          <w:rFonts w:hint="eastAsia"/>
          <w:lang w:val="en-US" w:eastAsia="zh-CN"/>
        </w:rPr>
        <w:t>4.3.2  KEGG富集</w:t>
      </w:r>
    </w:p>
    <w:p>
      <w:pPr>
        <w:rPr>
          <w:rFonts w:hint="default"/>
          <w:lang w:val="en-US" w:eastAsia="zh-CN"/>
        </w:rPr>
      </w:pPr>
      <w:r>
        <w:rPr>
          <w:rFonts w:hint="eastAsia"/>
          <w:lang w:val="en-US" w:eastAsia="zh-CN"/>
        </w:rPr>
        <w:t>通过图7可以看出，有9个通路是孤独症、癫痫和共患所共富集到的；只有癫痫有3个特有的通路富集。通过分析发现，这9个共有的通路分别是氧化磷酸化、热能产生、化学致癌 - 活性氧物质、帕金森病、亨廷顿病、朊病、肌萎缩性侧索硬化症、糖尿病心肌病，阿尔茨海默病，这可能说明孤独症和癫痫导致的差异表达和一些其他的精神疾病存在交互，能够从侧面说明一些精神疾病并发的机制。癫痫所特有的三个富集通路分别是逆行内源性大麻素信号传导、安非他命成瘾和心肌收缩。有研究表明，大麻二酚(Cannabidiol, CBD)，对于治疗耐药性癫痫是有效的；安非他命类药物可以让人注意力更专注，更容易注意细节，并且长时间保持很好的精神，识别到的这两个通路的富集可能和癫痫患者的服药习惯有较大关系。</w:t>
      </w:r>
    </w:p>
    <w:p>
      <w:pPr>
        <w:rPr>
          <w:rFonts w:hint="eastAsia"/>
          <w:lang w:val="en-US" w:eastAsia="zh-CN"/>
        </w:rPr>
      </w:pPr>
    </w:p>
    <w:p>
      <w:pPr>
        <w:jc w:val="center"/>
      </w:pPr>
      <w:r>
        <w:drawing>
          <wp:inline distT="0" distB="0" distL="114300" distR="114300">
            <wp:extent cx="2976245" cy="2879725"/>
            <wp:effectExtent l="0" t="0" r="8255" b="317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9"/>
                    <a:stretch>
                      <a:fillRect/>
                    </a:stretch>
                  </pic:blipFill>
                  <pic:spPr>
                    <a:xfrm>
                      <a:off x="0" y="0"/>
                      <a:ext cx="2976245" cy="287972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图7  KEGG富集韦恩图</w:t>
      </w:r>
    </w:p>
    <w:p>
      <w:pPr>
        <w:bidi w:val="0"/>
        <w:jc w:val="center"/>
        <w:rPr>
          <w:rFonts w:hint="default"/>
          <w:lang w:val="en-US" w:eastAsia="zh-CN"/>
        </w:rPr>
      </w:pPr>
    </w:p>
    <w:p>
      <w:pPr>
        <w:pStyle w:val="3"/>
        <w:bidi w:val="0"/>
        <w:rPr>
          <w:rFonts w:hint="eastAsia"/>
          <w:lang w:val="en-US" w:eastAsia="zh-CN"/>
        </w:rPr>
      </w:pPr>
      <w:r>
        <w:rPr>
          <w:rFonts w:hint="eastAsia"/>
          <w:lang w:val="en-US" w:eastAsia="zh-CN"/>
        </w:rPr>
        <w:t>4.4  WGCNA分析</w:t>
      </w:r>
    </w:p>
    <w:p>
      <w:pPr>
        <w:bidi w:val="0"/>
        <w:rPr>
          <w:rFonts w:hint="eastAsia"/>
          <w:lang w:val="en-US" w:eastAsia="zh-CN"/>
        </w:rPr>
      </w:pPr>
      <w:r>
        <w:rPr>
          <w:rFonts w:hint="eastAsia"/>
          <w:lang w:val="en-US" w:eastAsia="zh-CN"/>
        </w:rPr>
        <w:t>通过对PFC区域的星形胶质细胞的单细胞RNA seq进行bulk处理后，一共有34个样本，2531个基因进行WGCNA分析。</w:t>
      </w:r>
    </w:p>
    <w:p>
      <w:pPr>
        <w:bidi w:val="0"/>
        <w:rPr>
          <w:rFonts w:hint="eastAsia"/>
          <w:sz w:val="24"/>
          <w:vertAlign w:val="baseline"/>
          <w:lang w:val="en-US" w:eastAsia="zh-CN"/>
        </w:rPr>
      </w:pPr>
      <w:r>
        <w:rPr>
          <w:rFonts w:hint="eastAsia"/>
          <w:lang w:val="en-US" w:eastAsia="zh-CN"/>
        </w:rPr>
        <w:t>通过将基因的连通性分为多个区段(bins)，对每一个区段内基因连通性的均值取log10，该区段的基因的频率取log10，如果两者存在线性关系，那么这些基因的构成的网络符合幂律分布。如图8所示，通过计算不同软阈值下的线性相关系数R</w:t>
      </w:r>
      <w:r>
        <w:rPr>
          <w:rFonts w:hint="eastAsia"/>
          <w:sz w:val="24"/>
          <w:vertAlign w:val="superscript"/>
          <w:lang w:val="en-US" w:eastAsia="zh-CN"/>
        </w:rPr>
        <w:t>2</w:t>
      </w:r>
      <w:r>
        <w:rPr>
          <w:rFonts w:hint="eastAsia"/>
          <w:sz w:val="24"/>
          <w:vertAlign w:val="baseline"/>
          <w:lang w:val="en-US" w:eastAsia="zh-CN"/>
        </w:rPr>
        <w:t>，当软阈值为40的时候，</w:t>
      </w:r>
      <w:r>
        <w:rPr>
          <w:rFonts w:hint="eastAsia"/>
          <w:lang w:val="en-US" w:eastAsia="zh-CN"/>
        </w:rPr>
        <w:t>R</w:t>
      </w:r>
      <w:r>
        <w:rPr>
          <w:rFonts w:hint="eastAsia"/>
          <w:sz w:val="24"/>
          <w:vertAlign w:val="superscript"/>
          <w:lang w:val="en-US" w:eastAsia="zh-CN"/>
        </w:rPr>
        <w:t>2</w:t>
      </w:r>
      <w:r>
        <w:rPr>
          <w:rFonts w:hint="eastAsia"/>
          <w:sz w:val="24"/>
          <w:vertAlign w:val="baseline"/>
          <w:lang w:val="en-US" w:eastAsia="zh-CN"/>
        </w:rPr>
        <w:t>接近0.9。然而识别网络模块最高可以指定的软阈值为30，因此本研究在软阈值为30的条件下构建构建网络，识别共表达基于模块。如图9所示，当软阈值为30的时候，基因的平均连通度为99。</w:t>
      </w:r>
    </w:p>
    <w:p>
      <w:pPr>
        <w:bidi w:val="0"/>
        <w:rPr>
          <w:rFonts w:hint="default"/>
          <w:sz w:val="24"/>
          <w:vertAlign w:val="baseline"/>
          <w:lang w:val="en-US" w:eastAsia="zh-CN"/>
        </w:rPr>
      </w:pPr>
    </w:p>
    <w:p>
      <w:pPr>
        <w:ind w:left="0" w:leftChars="0" w:firstLine="0" w:firstLineChars="0"/>
        <w:jc w:val="center"/>
      </w:pPr>
      <w:r>
        <w:drawing>
          <wp:inline distT="0" distB="0" distL="114300" distR="114300">
            <wp:extent cx="5289550" cy="2700020"/>
            <wp:effectExtent l="0" t="0" r="6350"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0"/>
                    <a:stretch>
                      <a:fillRect/>
                    </a:stretch>
                  </pic:blipFill>
                  <pic:spPr>
                    <a:xfrm>
                      <a:off x="0" y="0"/>
                      <a:ext cx="5289550" cy="2700020"/>
                    </a:xfrm>
                    <a:prstGeom prst="rect">
                      <a:avLst/>
                    </a:prstGeom>
                    <a:noFill/>
                    <a:ln>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图8  不同软阈值下幂律分布的拟合指数</w:t>
      </w:r>
    </w:p>
    <w:p>
      <w:pPr>
        <w:ind w:left="0" w:leftChars="0" w:firstLine="0" w:firstLineChars="0"/>
        <w:jc w:val="center"/>
        <w:rPr>
          <w:rFonts w:hint="default"/>
          <w:lang w:val="en-US" w:eastAsia="zh-CN"/>
        </w:rPr>
      </w:pPr>
    </w:p>
    <w:p>
      <w:pPr>
        <w:ind w:left="0" w:leftChars="0" w:firstLine="0" w:firstLineChars="0"/>
        <w:jc w:val="both"/>
      </w:pPr>
      <w:r>
        <w:drawing>
          <wp:inline distT="0" distB="0" distL="114300" distR="114300">
            <wp:extent cx="5273675" cy="2700020"/>
            <wp:effectExtent l="0" t="0" r="9525" b="508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1"/>
                    <a:stretch>
                      <a:fillRect/>
                    </a:stretch>
                  </pic:blipFill>
                  <pic:spPr>
                    <a:xfrm>
                      <a:off x="0" y="0"/>
                      <a:ext cx="5273675" cy="2700020"/>
                    </a:xfrm>
                    <a:prstGeom prst="rect">
                      <a:avLst/>
                    </a:prstGeom>
                    <a:noFill/>
                    <a:ln>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图9  不同软阈值下的平均连通度</w:t>
      </w:r>
    </w:p>
    <w:p>
      <w:pPr>
        <w:bidi w:val="0"/>
        <w:rPr>
          <w:rFonts w:hint="eastAsia"/>
          <w:lang w:val="en-US" w:eastAsia="zh-CN"/>
        </w:rPr>
      </w:pPr>
      <w:r>
        <w:rPr>
          <w:rFonts w:hint="eastAsia"/>
          <w:lang w:val="en-US" w:eastAsia="zh-CN"/>
        </w:rPr>
        <w:t>如图10所示，2531个基因可以分为3个模块，蓝色模块有952个基因，青绿色模块有981个基因，有598个基因不分配到其他任何共表达模块( 灰色模块 )。图11展示了该网络权重前500的边构成的网络，节点代表基因，节点的颜色代表基因所述模块。</w:t>
      </w:r>
    </w:p>
    <w:p>
      <w:pPr>
        <w:bidi w:val="0"/>
        <w:rPr>
          <w:rFonts w:hint="eastAsia"/>
          <w:lang w:val="en-US" w:eastAsia="zh-CN"/>
        </w:rPr>
      </w:pPr>
      <w:r>
        <w:rPr>
          <w:rFonts w:hint="eastAsia"/>
          <w:lang w:val="en-US" w:eastAsia="zh-CN"/>
        </w:rPr>
        <w:t>KME (eigengene connectivity)为基因和模块相关系数，KME值接近0,说明这个基因不是该模块的成员；KME接近1或者-1,说明这个基因与该模块密切相关(正相关或者负相关)。本研究通过KME值筛选每一个共表达模块中的hub基因。</w:t>
      </w:r>
    </w:p>
    <w:p>
      <w:pPr>
        <w:bidi w:val="0"/>
        <w:ind w:left="0" w:leftChars="0" w:firstLine="0" w:firstLineChars="0"/>
        <w:rPr>
          <w:rFonts w:hint="eastAsia"/>
          <w:lang w:val="en-US" w:eastAsia="zh-CN"/>
        </w:rPr>
      </w:pPr>
    </w:p>
    <w:p>
      <w:pPr>
        <w:ind w:left="0" w:leftChars="0" w:firstLine="0" w:firstLineChars="0"/>
        <w:jc w:val="center"/>
      </w:pPr>
      <w:r>
        <w:drawing>
          <wp:inline distT="0" distB="0" distL="114300" distR="114300">
            <wp:extent cx="5255895" cy="2700020"/>
            <wp:effectExtent l="0" t="0" r="1905" b="508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2"/>
                    <a:stretch>
                      <a:fillRect/>
                    </a:stretch>
                  </pic:blipFill>
                  <pic:spPr>
                    <a:xfrm>
                      <a:off x="0" y="0"/>
                      <a:ext cx="5255895" cy="2700020"/>
                    </a:xfrm>
                    <a:prstGeom prst="rect">
                      <a:avLst/>
                    </a:prstGeom>
                    <a:noFill/>
                    <a:ln>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图10  基因聚类树状图</w:t>
      </w:r>
    </w:p>
    <w:p>
      <w:pPr>
        <w:ind w:left="0" w:leftChars="0" w:firstLine="0" w:firstLineChars="0"/>
        <w:jc w:val="center"/>
        <w:rPr>
          <w:rFonts w:hint="eastAsia"/>
          <w:lang w:val="en-US" w:eastAsia="zh-CN"/>
        </w:rPr>
      </w:pPr>
    </w:p>
    <w:p>
      <w:pPr>
        <w:ind w:left="0" w:leftChars="0" w:firstLine="0" w:firstLineChars="0"/>
        <w:rPr>
          <w:rFonts w:hint="default"/>
          <w:lang w:val="en-US" w:eastAsia="zh-CN"/>
        </w:rPr>
      </w:pPr>
      <w:r>
        <w:drawing>
          <wp:inline distT="0" distB="0" distL="114300" distR="114300">
            <wp:extent cx="5816600" cy="2700020"/>
            <wp:effectExtent l="0" t="0" r="0" b="508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3"/>
                    <a:stretch>
                      <a:fillRect/>
                    </a:stretch>
                  </pic:blipFill>
                  <pic:spPr>
                    <a:xfrm>
                      <a:off x="0" y="0"/>
                      <a:ext cx="5816600" cy="2700020"/>
                    </a:xfrm>
                    <a:prstGeom prst="rect">
                      <a:avLst/>
                    </a:prstGeom>
                    <a:noFill/>
                    <a:ln>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图11  权重前500的边的网络图</w:t>
      </w:r>
    </w:p>
    <w:p>
      <w:pPr>
        <w:bidi w:val="0"/>
        <w:rPr>
          <w:rFonts w:hint="default"/>
          <w:lang w:val="en-US" w:eastAsia="zh-CN"/>
        </w:rPr>
      </w:pPr>
      <w:r>
        <w:rPr>
          <w:rFonts w:hint="eastAsia"/>
          <w:lang w:val="en-US" w:eastAsia="zh-CN"/>
        </w:rPr>
        <w:t>当定义 |KME| 阈值为0.99时，蓝色模块有158个hub基因，青绿色模块有24个hub基因。蓝色模块中排名前五的hub基因分别时AC074391.1、SUZ12P1、GUSBP1、SEPT2和BRE；青绿色模块中排名前五的ALDOC、ERBIN、AFDN、WAPL、LINC01896。</w:t>
      </w:r>
    </w:p>
    <w:p>
      <w:pPr>
        <w:ind w:left="0" w:leftChars="0" w:firstLine="0" w:firstLineChars="0"/>
        <w:rPr>
          <w:rFonts w:hint="eastAsia"/>
          <w:lang w:val="en-US" w:eastAsia="zh-CN"/>
        </w:rPr>
      </w:pPr>
    </w:p>
    <w:p>
      <w:pPr>
        <w:pStyle w:val="2"/>
        <w:bidi w:val="0"/>
        <w:rPr>
          <w:rFonts w:hint="eastAsia"/>
          <w:lang w:val="en-US" w:eastAsia="zh-CN"/>
        </w:rPr>
      </w:pPr>
      <w:r>
        <w:rPr>
          <w:rFonts w:hint="eastAsia"/>
          <w:lang w:val="en-US" w:eastAsia="zh-CN"/>
        </w:rPr>
        <w:t>5  讨论</w:t>
      </w:r>
    </w:p>
    <w:p>
      <w:pPr>
        <w:rPr>
          <w:rFonts w:hint="default"/>
          <w:lang w:val="en-US" w:eastAsia="zh-CN"/>
        </w:rPr>
      </w:pPr>
      <w:r>
        <w:rPr>
          <w:rFonts w:hint="eastAsia"/>
          <w:lang w:val="en-US" w:eastAsia="zh-CN"/>
        </w:rPr>
        <w:t>在这项研究中，本研究收集了孤独症、癫痫和共患个体的单细胞核RNA Seq测序数据。经过基因定量和细胞注释后，从118,395个细胞中筛选出了9,216个位于前额叶皮层的星形胶质细胞，以进行差异表达分析。本研究的目标是找出这些不同疾病条件下的星形胶质细胞中的差异表达基因，并进一步进行GO富集和KEGG富集分析，以找出各自疾病的共有和特有的功能及通路注释。</w:t>
      </w:r>
    </w:p>
    <w:p>
      <w:pPr>
        <w:rPr>
          <w:rFonts w:hint="eastAsia"/>
          <w:lang w:val="en-US" w:eastAsia="zh-CN"/>
        </w:rPr>
      </w:pPr>
      <w:r>
        <w:rPr>
          <w:rFonts w:hint="eastAsia"/>
          <w:lang w:val="en-US" w:eastAsia="zh-CN"/>
        </w:rPr>
        <w:t>本研究发现，患有孤独症、癫痫以及两者共患的个体的星形胶质细胞存在着能量代谢、蛋白转运、翻译以及细胞形态方面的异常。癫痫影响星形胶质细胞的代谢活动的机制和孤独症不同，癫痫可能和胶质细胞对钙离子的响应和转运存在联系。共患个体的星形胶质细胞则在对类固醇激素和糖皮质激素的响应上存在异常。此外，KEGG富集分析结果还显示，这些差异表达基因与其他一些精神疾病存在交互作用，从侧面说明了一些精神疾病可能具有共同的并发机制。</w:t>
      </w:r>
    </w:p>
    <w:p>
      <w:pPr>
        <w:rPr>
          <w:rFonts w:hint="eastAsia"/>
          <w:lang w:val="en-US" w:eastAsia="zh-CN"/>
        </w:rPr>
      </w:pPr>
      <w:r>
        <w:rPr>
          <w:rFonts w:hint="eastAsia"/>
          <w:lang w:val="en-US" w:eastAsia="zh-CN"/>
        </w:rPr>
        <w:t>最后，本研究对2531个差异表达基因进行了bulk WGCNA分析，成功识别出了两个共表达网络模块，并确定了这两个模块的hub基因。</w:t>
      </w:r>
    </w:p>
    <w:p>
      <w:pPr>
        <w:rPr>
          <w:rFonts w:hint="default"/>
          <w:lang w:val="en-US" w:eastAsia="zh-CN"/>
        </w:rPr>
      </w:pPr>
      <w:r>
        <w:rPr>
          <w:rFonts w:hint="eastAsia"/>
          <w:lang w:val="en-US" w:eastAsia="zh-CN"/>
        </w:rPr>
        <w:t>本研究存在一些缺陷。本研究在细胞注释过程中一共注释到15个细胞类型，然而有的细胞类型在孤独症、癫痫以及共患中细胞数目相差较大，考虑到不同分组中的数目对统计分析结果的影响以及时间的限制，本研究只对来自前额页皮层的星形胶质细胞进行相关分析，而没有挖掘其他细胞类型的差异表达基因的信息；为节约时间和计算资源，本研究只对癫痫和部分正常样本的单细胞核测序进行基因和细胞定量，然后将产生的基因表达矩阵和Velmeshev提供的孤独症和共患的基因表达矩阵合并起来分析，这意味着需要批次效应进行处理，本研究对基因表达矩阵的批次效应的处理并不好，在找孤独症、癫痫和共患细胞的差异表达基因时，孤独症、癫痫和共患识别到的差异表达基因的log2FC值存在很明显的断层，孤独症和共患的表达矩阵由Velmeshev提供，识别到的显著的差异表达基因多为负调控，而癫痫的表达矩阵由笔者定量获得，能够识别到更多的正调控的差异表达基因。</w:t>
      </w:r>
    </w:p>
    <w:p>
      <w:pPr>
        <w:rPr>
          <w:rFonts w:hint="eastAsia"/>
          <w:lang w:val="en-US" w:eastAsia="zh-CN"/>
        </w:rPr>
      </w:pPr>
      <w:r>
        <w:rPr>
          <w:rFonts w:hint="eastAsia"/>
          <w:lang w:val="en-US" w:eastAsia="zh-CN"/>
        </w:rPr>
        <w:t>本研究下一步应该使用一个一致的单细胞处理流程，一致的参考基因组对所有的单细胞核测序样本进行比对、定量和注释，从源头上获得一个批次效应相对更小的基因表达矩阵进行下游分析。本研究还能根据这一个分析流程，进一步对其他细胞类型进行分析。对于识别到的共表达模块的hub基因，可以对其进行富集分析，以揭示hub基因的通路和功能。</w:t>
      </w:r>
    </w:p>
    <w:p>
      <w:pPr>
        <w:rPr>
          <w:rFonts w:hint="default"/>
          <w:lang w:val="en-US" w:eastAsia="zh-CN"/>
        </w:rPr>
      </w:pPr>
    </w:p>
    <w:p>
      <w:pPr>
        <w:pStyle w:val="2"/>
        <w:bidi w:val="0"/>
        <w:rPr>
          <w:rFonts w:hint="default"/>
        </w:rPr>
      </w:pPr>
      <w:r>
        <w:rPr>
          <w:rFonts w:hint="eastAsia"/>
          <w:lang w:val="en-US" w:eastAsia="zh-CN"/>
        </w:rPr>
        <w:t xml:space="preserve">6  </w:t>
      </w:r>
      <w:r>
        <w:rPr>
          <w:rFonts w:hint="eastAsia"/>
        </w:rPr>
        <w:t>参考文献</w:t>
      </w:r>
    </w:p>
    <w:p>
      <w:pPr>
        <w:spacing w:beforeLines="0" w:afterLines="0"/>
        <w:ind w:left="220" w:hanging="220"/>
        <w:rPr>
          <w:rFonts w:hint="default"/>
          <w:sz w:val="24"/>
          <w:szCs w:val="24"/>
        </w:rPr>
      </w:pPr>
      <w:r>
        <w:rPr>
          <w:rFonts w:hint="default" w:ascii="Times New Roman" w:hAnsi="Times New Roman" w:eastAsia="Times New Roman"/>
          <w:color w:val="000000"/>
          <w:sz w:val="20"/>
          <w:szCs w:val="24"/>
        </w:rPr>
        <w:t xml:space="preserve">1. </w:t>
      </w:r>
      <w:bookmarkStart w:id="0" w:name="_nebF95AE223_1226_4C72_9FEE_FAB5EC4AA9EA"/>
      <w:r>
        <w:rPr>
          <w:rFonts w:hint="default" w:ascii="Times New Roman" w:hAnsi="Times New Roman" w:eastAsia="Times New Roman"/>
          <w:color w:val="000000"/>
          <w:sz w:val="20"/>
          <w:szCs w:val="24"/>
        </w:rPr>
        <w:t xml:space="preserve">Hao Y, Stuart T, Kowalski M H, Choudhary S, Hoffman P, Hartman A, Srivastava A, Molla G, Madad S, Fernandez-Granda C, Satija R. Dictionary Learning for Integrative, Multimodal and Scalable Single-Cell  Analysis. </w:t>
      </w:r>
      <w:r>
        <w:rPr>
          <w:rFonts w:hint="default" w:ascii="Times New Roman" w:hAnsi="Times New Roman" w:eastAsia="Times New Roman"/>
          <w:i/>
          <w:color w:val="000000"/>
          <w:sz w:val="20"/>
          <w:szCs w:val="24"/>
        </w:rPr>
        <w:t>Nat Biotechnol</w:t>
      </w:r>
      <w:r>
        <w:rPr>
          <w:rFonts w:hint="default" w:ascii="Times New Roman" w:hAnsi="Times New Roman" w:eastAsia="Times New Roman"/>
          <w:color w:val="000000"/>
          <w:sz w:val="20"/>
          <w:szCs w:val="24"/>
        </w:rPr>
        <w:t>, 2023.</w:t>
      </w:r>
      <w:bookmarkEnd w:id="0"/>
    </w:p>
    <w:p>
      <w:pPr>
        <w:spacing w:beforeLines="0" w:afterLines="0"/>
        <w:ind w:left="220" w:hanging="220"/>
        <w:rPr>
          <w:rFonts w:hint="default"/>
          <w:sz w:val="24"/>
          <w:szCs w:val="24"/>
        </w:rPr>
      </w:pPr>
      <w:r>
        <w:rPr>
          <w:rFonts w:hint="default" w:ascii="Times New Roman" w:hAnsi="Times New Roman" w:eastAsia="Times New Roman"/>
          <w:color w:val="000000"/>
          <w:sz w:val="20"/>
          <w:szCs w:val="24"/>
        </w:rPr>
        <w:t xml:space="preserve">2. </w:t>
      </w:r>
      <w:bookmarkStart w:id="1" w:name="_neb7FEADB45_D9E9_4E52_82D2_9EE7A2AF52C7"/>
      <w:r>
        <w:rPr>
          <w:rFonts w:hint="default" w:ascii="Times New Roman" w:hAnsi="Times New Roman" w:eastAsia="Times New Roman"/>
          <w:color w:val="000000"/>
          <w:sz w:val="20"/>
          <w:szCs w:val="24"/>
        </w:rPr>
        <w:t xml:space="preserve">Langfelder P, Horvath S. WGCNA: An R Package for Weighted Correlation Network Analysis. </w:t>
      </w:r>
      <w:r>
        <w:rPr>
          <w:rFonts w:hint="default" w:ascii="Times New Roman" w:hAnsi="Times New Roman" w:eastAsia="Times New Roman"/>
          <w:i/>
          <w:color w:val="000000"/>
          <w:sz w:val="20"/>
          <w:szCs w:val="24"/>
        </w:rPr>
        <w:t>Bmc Bioinformatics</w:t>
      </w:r>
      <w:r>
        <w:rPr>
          <w:rFonts w:hint="default" w:ascii="Times New Roman" w:hAnsi="Times New Roman" w:eastAsia="Times New Roman"/>
          <w:color w:val="000000"/>
          <w:sz w:val="20"/>
          <w:szCs w:val="24"/>
        </w:rPr>
        <w:t>, 2008, 9: 559.</w:t>
      </w:r>
      <w:bookmarkEnd w:id="1"/>
    </w:p>
    <w:p>
      <w:pPr>
        <w:spacing w:beforeLines="0" w:afterLines="0"/>
        <w:ind w:left="220" w:hanging="220"/>
        <w:rPr>
          <w:rFonts w:hint="default"/>
          <w:sz w:val="24"/>
          <w:szCs w:val="24"/>
        </w:rPr>
      </w:pPr>
      <w:r>
        <w:rPr>
          <w:rFonts w:hint="default" w:ascii="Times New Roman" w:hAnsi="Times New Roman" w:eastAsia="Times New Roman"/>
          <w:color w:val="000000"/>
          <w:sz w:val="20"/>
          <w:szCs w:val="24"/>
        </w:rPr>
        <w:t xml:space="preserve">3. </w:t>
      </w:r>
      <w:bookmarkStart w:id="2" w:name="_neb81ECA775_7CA6_43EB_BE2C_B7DB90969DBF"/>
      <w:r>
        <w:rPr>
          <w:rFonts w:hint="default" w:ascii="Times New Roman" w:hAnsi="Times New Roman" w:eastAsia="Times New Roman"/>
          <w:color w:val="000000"/>
          <w:sz w:val="20"/>
          <w:szCs w:val="24"/>
        </w:rPr>
        <w:t xml:space="preserve">Shannon P, Markiel A, Ozier O, Baliga N S, Wang J T, Ramage D, Amin N, Schwikowski B, Ideker T. Cytoscape: A Software Environment for Integrated Models of Biomolecular  Interaction Networks. </w:t>
      </w:r>
      <w:r>
        <w:rPr>
          <w:rFonts w:hint="default" w:ascii="Times New Roman" w:hAnsi="Times New Roman" w:eastAsia="Times New Roman"/>
          <w:i/>
          <w:color w:val="000000"/>
          <w:sz w:val="20"/>
          <w:szCs w:val="24"/>
        </w:rPr>
        <w:t>Genome Res</w:t>
      </w:r>
      <w:r>
        <w:rPr>
          <w:rFonts w:hint="default" w:ascii="Times New Roman" w:hAnsi="Times New Roman" w:eastAsia="Times New Roman"/>
          <w:color w:val="000000"/>
          <w:sz w:val="20"/>
          <w:szCs w:val="24"/>
        </w:rPr>
        <w:t>, 2003, 13 (11): 2498~2504.</w:t>
      </w:r>
      <w:bookmarkEnd w:id="2"/>
    </w:p>
    <w:p>
      <w:pPr>
        <w:spacing w:beforeLines="0" w:afterLines="0"/>
        <w:ind w:left="220" w:hanging="220"/>
        <w:rPr>
          <w:rFonts w:hint="default"/>
          <w:sz w:val="24"/>
          <w:szCs w:val="24"/>
        </w:rPr>
      </w:pPr>
      <w:r>
        <w:rPr>
          <w:rFonts w:hint="default" w:ascii="Times New Roman" w:hAnsi="Times New Roman" w:eastAsia="Times New Roman"/>
          <w:color w:val="000000"/>
          <w:sz w:val="20"/>
          <w:szCs w:val="24"/>
        </w:rPr>
        <w:t xml:space="preserve">4. </w:t>
      </w:r>
      <w:bookmarkStart w:id="3" w:name="_neb3FED5042_88F8_43DD_948D_A4AD69C5A875"/>
      <w:r>
        <w:rPr>
          <w:rFonts w:hint="default" w:ascii="Times New Roman" w:hAnsi="Times New Roman" w:eastAsia="Times New Roman"/>
          <w:color w:val="000000"/>
          <w:sz w:val="20"/>
          <w:szCs w:val="24"/>
        </w:rPr>
        <w:t xml:space="preserve">Velmeshev D, Schirmer L, Jung D, Haeussler M, Perez Y, Mayer S, Bhaduri A, Goyal N, Rowitch D H, Kriegstein A R. Single-Cell Genomics Identifies Cell Type-Specific Molecular Changes in Autism. </w:t>
      </w:r>
      <w:r>
        <w:rPr>
          <w:rFonts w:hint="default" w:ascii="Times New Roman" w:hAnsi="Times New Roman" w:eastAsia="Times New Roman"/>
          <w:i/>
          <w:color w:val="000000"/>
          <w:sz w:val="20"/>
          <w:szCs w:val="24"/>
        </w:rPr>
        <w:t>Science</w:t>
      </w:r>
      <w:r>
        <w:rPr>
          <w:rFonts w:hint="default" w:ascii="Times New Roman" w:hAnsi="Times New Roman" w:eastAsia="Times New Roman"/>
          <w:color w:val="000000"/>
          <w:sz w:val="20"/>
          <w:szCs w:val="24"/>
        </w:rPr>
        <w:t>, 2019, 364 (6441): 685~689.</w:t>
      </w:r>
      <w:bookmarkEnd w:id="3"/>
    </w:p>
    <w:p>
      <w:pPr>
        <w:spacing w:beforeLines="0" w:afterLines="0"/>
        <w:ind w:left="220" w:hanging="220"/>
        <w:rPr>
          <w:rFonts w:hint="default"/>
          <w:sz w:val="24"/>
          <w:szCs w:val="24"/>
        </w:rPr>
      </w:pPr>
      <w:r>
        <w:rPr>
          <w:rFonts w:hint="default" w:ascii="Times New Roman" w:hAnsi="Times New Roman" w:eastAsia="Times New Roman"/>
          <w:color w:val="000000"/>
          <w:sz w:val="20"/>
          <w:szCs w:val="24"/>
        </w:rPr>
        <w:t xml:space="preserve">5. </w:t>
      </w:r>
      <w:bookmarkStart w:id="4" w:name="_nebB932417A_3BAB_4E4D_B31A_CBDDC691AC96"/>
      <w:r>
        <w:rPr>
          <w:rFonts w:hint="default" w:ascii="Times New Roman" w:hAnsi="Times New Roman" w:eastAsia="Times New Roman"/>
          <w:color w:val="000000"/>
          <w:sz w:val="20"/>
          <w:szCs w:val="24"/>
        </w:rPr>
        <w:t xml:space="preserve">Wu T, Hu E, Xu S, Chen M, Guo P, Dai Z, Feng T, Zhou L, Tang W, Zhan L, Fu X, Liu S, Bo X, Yu G. ClusterProfiler 4.0: A Universal Enrichment Tool for Interpreting Omics Data. </w:t>
      </w:r>
      <w:r>
        <w:rPr>
          <w:rFonts w:hint="default" w:ascii="Times New Roman" w:hAnsi="Times New Roman" w:eastAsia="Times New Roman"/>
          <w:i/>
          <w:color w:val="000000"/>
          <w:sz w:val="20"/>
          <w:szCs w:val="24"/>
        </w:rPr>
        <w:t>Innovation (Camb)</w:t>
      </w:r>
      <w:r>
        <w:rPr>
          <w:rFonts w:hint="default" w:ascii="Times New Roman" w:hAnsi="Times New Roman" w:eastAsia="Times New Roman"/>
          <w:color w:val="000000"/>
          <w:sz w:val="20"/>
          <w:szCs w:val="24"/>
        </w:rPr>
        <w:t>, 2021, 2 (3): 100141.</w:t>
      </w:r>
      <w:bookmarkEnd w:id="4"/>
    </w:p>
    <w:p>
      <w:pPr>
        <w:bidi w:val="0"/>
        <w:rPr>
          <w:rFonts w:hint="default"/>
          <w:lang w:val="en-US" w:eastAsia="zh-CN"/>
        </w:rPr>
      </w:pPr>
      <w:bookmarkStart w:id="5" w:name="_GoBack"/>
      <w:bookmarkEnd w:id="5"/>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96220014"/>
      <w:docPartObj>
        <w:docPartGallery w:val="autotext"/>
      </w:docPartObj>
    </w:sdtPr>
    <w:sdtContent>
      <w:p>
        <w:pPr>
          <w:pStyle w:val="8"/>
          <w:ind w:firstLine="360"/>
          <w:jc w:val="center"/>
        </w:pPr>
        <w:r>
          <w:fldChar w:fldCharType="begin"/>
        </w:r>
        <w:r>
          <w:instrText xml:space="preserve">PAGE   \* MERGEFORMAT</w:instrText>
        </w:r>
        <w:r>
          <w:fldChar w:fldCharType="separate"/>
        </w:r>
        <w:r>
          <w:rPr>
            <w:lang w:val="zh-CN"/>
          </w:rPr>
          <w:t>2</w:t>
        </w:r>
        <w:r>
          <w:fldChar w:fldCharType="end"/>
        </w:r>
      </w:p>
    </w:sdtContent>
  </w:sdt>
  <w:p>
    <w:pPr>
      <w:pStyle w:val="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c4ZDFiNDY5MzQ5ZGYxMDMxNjM4YjA3MDM0NTEzODgifQ=="/>
    <w:docVar w:name="NE.Ref{3A3481FD-953E-4F7A-AC37-2073A33059A5}" w:val=" ADDIN NE.Ref.{3A3481FD-953E-4F7A-AC37-2073A33059A5}&lt;Citation&gt;&lt;Group&gt;&lt;References&gt;&lt;Item&gt;&lt;ID&gt;826&lt;/ID&gt;&lt;UID&gt;{7FEADB45-D9E9-4E52-82D2-9EE7A2AF52C7}&lt;/UID&gt;&lt;Title&gt;WGCNA: an R package for weighted correlation network analysis&lt;/Title&gt;&lt;Template&gt;Journal Article&lt;/Template&gt;&lt;Star&gt;0&lt;/Star&gt;&lt;Tag&gt;0&lt;/Tag&gt;&lt;Author&gt;Langfelder, P; Horvath, S&lt;/Author&gt;&lt;Year&gt;2008&lt;/Year&gt;&lt;Details&gt;&lt;_accession_num&gt;19114008&lt;/_accession_num&gt;&lt;_author_adr&gt;Department of Human Genetics and Department of Biostatistics, University of  California, Los Angeles, CA 90095, USA. Peter.Langfelder@gmail.com&lt;/_author_adr&gt;&lt;_date_display&gt;2008 Dec 29&lt;/_date_display&gt;&lt;_date&gt;2008-12-29&lt;/_date&gt;&lt;_doi&gt;10.1186/1471-2105-9-559&lt;/_doi&gt;&lt;_isbn&gt;1471-2105 (Electronic); 1471-2105 (Linking)&lt;/_isbn&gt;&lt;_journal&gt;BMC Bioinformatics&lt;/_journal&gt;&lt;_language&gt;eng&lt;/_language&gt;&lt;_pages&gt;559&lt;/_pages&gt;&lt;_subject_headings&gt;Algorithms; Animals; Computational Biology/*methods; Computer Graphics; *Computing Methodologies; Databases, Genetic; Gene Expression Profiling/methods; Humans; Mice; Oligonucleotide Array Sequence Analysis/*methods; Pattern Recognition, Automated; Programming Languages; *Software; Systems Biology&lt;/_subject_headings&gt;&lt;_tertiary_title&gt;BMC bioinformatics&lt;/_tertiary_title&gt;&lt;_type_work&gt;Journal Article; Research Support, N.I.H., Extramural&lt;/_type_work&gt;&lt;_url&gt;http://www.ncbi.nlm.nih.gov/entrez/query.fcgi?cmd=Retrieve&amp;amp;db=pubmed&amp;amp;dopt=Abstract&amp;amp;list_uids=19114008&amp;amp;query_hl=1&lt;/_url&gt;&lt;_volume&gt;9&lt;/_volume&gt;&lt;_created&gt;65182593&lt;/_created&gt;&lt;_modified&gt;65182593&lt;/_modified&gt;&lt;_db_updated&gt;PubMed&lt;/_db_updated&gt;&lt;_impact_factor&gt;   3.169&lt;/_impact_factor&gt;&lt;_collection_scope&gt;SCIE;EI&lt;/_collection_scope&gt;&lt;/Details&gt;&lt;Extra&gt;&lt;DBUID&gt;{F96A950B-833F-4880-A151-76DA2D6A2879}&lt;/DBUID&gt;&lt;/Extra&gt;&lt;/Item&gt;&lt;/References&gt;&lt;/Group&gt;&lt;/Citation&gt;_x000a_"/>
    <w:docVar w:name="NE.Ref{5B54684C-58D5-4BAA-A700-11DC3A531A9B}" w:val=" ADDIN NE.Ref.{5B54684C-58D5-4BAA-A700-11DC3A531A9B}&lt;Citation&gt;&lt;Group&gt;&lt;References&gt;&lt;Item&gt;&lt;ID&gt;824&lt;/ID&gt;&lt;UID&gt;{F95AE223-1226-4C72-9FEE-FAB5EC4AA9EA}&lt;/UID&gt;&lt;Title&gt;Dictionary learning for integrative, multimodal and scalable single-cell  analysis&lt;/Title&gt;&lt;Template&gt;Journal Article&lt;/Template&gt;&lt;Star&gt;0&lt;/Star&gt;&lt;Tag&gt;0&lt;/Tag&gt;&lt;Author&gt;Hao, Y; Stuart, T; Kowalski, M H; Choudhary, S; Hoffman, P; Hartman, A; Srivastava, A; Molla, G; Madad, S; Fernandez-Granda, C; Satija, R&lt;/Author&gt;&lt;Year&gt;2023&lt;/Year&gt;&lt;Details&gt;&lt;_accession_num&gt;37231261&lt;/_accession_num&gt;&lt;_author_adr&gt;Center for Genomics and Systems Biology, New York University, New York, NY, USA.; New York Genome Center, New York, NY, USA.; Center for Genomics and Systems Biology, New York University, New York, NY, USA.; New York Genome Center, New York, NY, USA.; New York Genome Center, New York, NY, USA.; Institute for System Genetics, NYU Langone Medical Center, New York, NY, USA.; Center for Genomics and Systems Biology, New York University, New York, NY, USA.; New York Genome Center, New York, NY, USA.; Center for Genomics and Systems Biology, New York University, New York, NY, USA.; Center for Genomics and Systems Biology, New York University, New York, NY, USA.; Center for Genomics and Systems Biology, New York University, New York, NY, USA.; New York Genome Center, New York, NY, USA.; New York Genome Center, New York, NY, USA.; Center for Genomics and Systems Biology, New York University, New York, NY, USA.; New York Genome Center, New York, NY, USA.; Center for Data Science, New York University, New York, NY, USA.; Courant Institute of Mathematical Sciences, New York University, New York, NY,  USA.; Center for Genomics and Systems Biology, New York University, New York, NY, USA.  rsatija@nygenome.org.; New York Genome Center, New York, NY, USA. rsatija@nygenome.org.&lt;/_author_adr&gt;&lt;_date_display&gt;2023 May 25&lt;/_date_display&gt;&lt;_date&gt;2023-05-25&lt;/_date&gt;&lt;_doi&gt;10.1038/s41587-023-01767-y&lt;/_doi&gt;&lt;_isbn&gt;1546-1696 (Electronic); 1087-0156 (Linking)&lt;/_isbn&gt;&lt;_journal&gt;Nat Biotechnol&lt;/_journal&gt;&lt;_language&gt;eng&lt;/_language&gt;&lt;_ori_publication&gt;(c) 2023. The Author(s), under exclusive licence to Springer Nature America, Inc.&lt;/_ori_publication&gt;&lt;_tertiary_title&gt;Nature biotechnology&lt;/_tertiary_title&gt;&lt;_type_work&gt;Journal Article&lt;/_type_work&gt;&lt;_url&gt;http://www.ncbi.nlm.nih.gov/entrez/query.fcgi?cmd=Retrieve&amp;amp;db=pubmed&amp;amp;dopt=Abstract&amp;amp;list_uids=37231261&amp;amp;query_hl=1&lt;/_url&gt;&lt;_created&gt;65182584&lt;/_created&gt;&lt;_modified&gt;65182584&lt;/_modified&gt;&lt;_db_updated&gt;PubMed&lt;/_db_updated&gt;&lt;_impact_factor&gt;  54.908&lt;/_impact_factor&gt;&lt;_collection_scope&gt;SCI;SCIE;EI&lt;/_collection_scope&gt;&lt;/Details&gt;&lt;Extra&gt;&lt;DBUID&gt;{F96A950B-833F-4880-A151-76DA2D6A2879}&lt;/DBUID&gt;&lt;/Extra&gt;&lt;/Item&gt;&lt;/References&gt;&lt;/Group&gt;&lt;/Citation&gt;_x000a_"/>
    <w:docVar w:name="NE.Ref{A058AA17-A7D5-4B73-8154-C31CC3D20768}" w:val=" ADDIN NE.Ref.{A058AA17-A7D5-4B73-8154-C31CC3D20768}&lt;Citation&gt;&lt;Group&gt;&lt;References&gt;&lt;Item&gt;&lt;ID&gt;825&lt;/ID&gt;&lt;UID&gt;{B932417A-3BAB-4E4D-B31A-CBDDC691AC96}&lt;/UID&gt;&lt;Title&gt;clusterProfiler 4.0: A universal enrichment tool for interpreting omics data&lt;/Title&gt;&lt;Template&gt;Journal Article&lt;/Template&gt;&lt;Star&gt;0&lt;/Star&gt;&lt;Tag&gt;0&lt;/Tag&gt;&lt;Author&gt;Wu, T; Hu, E; Xu, S; Chen, M; Guo, P; Dai, Z; Feng, T; Zhou, L; Tang, W; Zhan, L; Fu, X; Liu, S; Bo, X; Yu, G&lt;/Author&gt;&lt;Year&gt;2021&lt;/Year&gt;&lt;Details&gt;&lt;_accession_num&gt;34557778&lt;/_accession_num&gt;&lt;_author_adr&gt;Department of Bioinformatics, School of Basic Medical Sciences, Southern Medical  University, Guangzhou 510515, China.; Department of Bioinformatics, School of Basic Medical Sciences, Southern Medical  University, Guangzhou 510515, China.; Department of Bioinformatics, School of Basic Medical Sciences, Southern Medical  University, Guangzhou 510515, China.; Department of Bioinformatics, School of Basic Medical Sciences, Southern Medical  University, Guangzhou 510515, China.; Department of Bioinformatics, School of Basic Medical Sciences, Southern Medical  University, Guangzhou 510515, China.; Department of Bioinformatics, School of Basic Medical Sciences, Southern Medical  University, Guangzhou 510515, China.; Department of Bioinformatics, School of Basic Medical Sciences, Southern Medical  University, Guangzhou 510515, China.; Department of Bioinformatics, School of Basic Medical Sciences, Southern Medical  University, Guangzhou 510515, China.; Department of Bioinformatics, School of Basic Medical Sciences, Southern Medical  University, Guangzhou 510515, China.; Department of Bioinformatics, School of Basic Medical Sciences, Southern Medical  University, Guangzhou 510515, China.; Department of Bioinformatics, School of Basic Medical Sciences, Southern Medical  University, Guangzhou 510515, China.; Department of Bioinformatics, School of Basic Medical Sciences, Southern Medical  University, Guangzhou 510515, China.; Department of Biotechnology, Beijing Institute of Radiation Medicine, Beijing  100850, China.; Department of Bioinformatics, School of Basic Medical Sciences, Southern Medical  University, Guangzhou 510515, China.; Guangdong Provincial Key Laboratory of Proteomics, School of Basic Medical  Sciences, Southern Medical University, Guangzhou 510515, China.; Microbiome Medicine Center, Department of Laboratory Medicine, Zhujiang Hospital,  Southern Medical University, Guangzhou 510515, China.&lt;/_author_adr&gt;&lt;_date_display&gt;2021 Aug 28&lt;/_date_display&gt;&lt;_date&gt;2021-08-28&lt;/_date&gt;&lt;_doi&gt;10.1016/j.xinn.2021.100141&lt;/_doi&gt;&lt;_isbn&gt;2666-6758 (Electronic); 2666-6758 (Linking)&lt;/_isbn&gt;&lt;_issue&gt;3&lt;/_issue&gt;&lt;_journal&gt;Innovation (Camb)&lt;/_journal&gt;&lt;_keywords&gt;biological knowledge mining; clusterProfiler; enrichment analysis; functional analysis; visualization&lt;/_keywords&gt;&lt;_language&gt;eng&lt;/_language&gt;&lt;_ori_publication&gt;(c) 2021 The Author(s).&lt;/_ori_publication&gt;&lt;_pages&gt;100141&lt;/_pages&gt;&lt;_tertiary_title&gt;Innovation (Cambridge (Mass.))&lt;/_tertiary_title&gt;&lt;_type_work&gt;Journal Article&lt;/_type_work&gt;&lt;_url&gt;http://www.ncbi.nlm.nih.gov/entrez/query.fcgi?cmd=Retrieve&amp;amp;db=pubmed&amp;amp;dopt=Abstract&amp;amp;list_uids=34557778&amp;amp;query_hl=1&lt;/_url&gt;&lt;_volume&gt;2&lt;/_volume&gt;&lt;_created&gt;65182592&lt;/_created&gt;&lt;_modified&gt;65182592&lt;/_modified&gt;&lt;_db_updated&gt;PubMed&lt;/_db_updated&gt;&lt;/Details&gt;&lt;Extra&gt;&lt;DBUID&gt;{F96A950B-833F-4880-A151-76DA2D6A2879}&lt;/DBUID&gt;&lt;/Extra&gt;&lt;/Item&gt;&lt;/References&gt;&lt;/Group&gt;&lt;/Citation&gt;_x000a_"/>
    <w:docVar w:name="NE.Ref{BDB9AA52-C7D0-4D54-A0B4-038E7078CD88}" w:val=" ADDIN NE.Ref.{BDB9AA52-C7D0-4D54-A0B4-038E7078CD88}&lt;Citation&gt;&lt;Group&gt;&lt;References&gt;&lt;Item&gt;&lt;ID&gt;823&lt;/ID&gt;&lt;UID&gt;{3FED5042-88F8-43DD-948D-A4AD69C5A875}&lt;/UID&gt;&lt;Title&gt;Single-cell genomics identifies cell type-specific molecular changes in autism&lt;/Title&gt;&lt;Template&gt;Journal Article&lt;/Template&gt;&lt;Star&gt;0&lt;/Star&gt;&lt;Tag&gt;0&lt;/Tag&gt;&lt;Author&gt;Velmeshev, D; Schirmer, L; Jung, D; Haeussler, M; Perez, Y; Mayer, S; Bhaduri, A; Goyal, N; Rowitch, D H; Kriegstein, A R&lt;/Author&gt;&lt;Year&gt;2019&lt;/Year&gt;&lt;Details&gt;&lt;_accession_num&gt;31097668&lt;/_accession_num&gt;&lt;_author_adr&gt;Eli and Edythe Broad Center of Regeneration Medicine and Stem Cell Research,  University of California, San Francisco, CA 94143, USA. dmitry.velmeshev@ucsf.edu  arnold.kriegstein@ucsf.edu.; Department of Neurology, University of California, San Francisco, CA 94158, USA.; Eli and Edythe Broad Center of Regeneration Medicine and Stem Cell Research,  University of California, San Francisco, CA 94143, USA.; Department of Pediatrics, University of California, San Francisco, CA 94143, USA.; Department of Neurology, Medical Faculty Mannheim, University of Heidelberg,  68167 Mannheim, Germany.; Eli and Edythe Broad Center of Regeneration Medicine and Stem Cell Research,  University of California, San Francisco, CA 94143, USA.; Department of Neurology, University of California, San Francisco, CA 94158, USA.; Genomics Institute, University of California, Santa Cruz, CA, USA.; Eli and Edythe Broad Center of Regeneration Medicine and Stem Cell Research,  University of California, San Francisco, CA 94143, USA.; Department of Neurology, University of California, San Francisco, CA 94158, USA.; Eli and Edythe Broad Center of Regeneration Medicine and Stem Cell Research,  University of California, San Francisco, CA 94143, USA.; Department of Neurology, University of California, San Francisco, CA 94158, USA.; Hertie Institute for Clinical Brain Research, University of Tubingen, 72076  Tubingen, Germany.; Eli and Edythe Broad Center of Regeneration Medicine and Stem Cell Research,  University of California, San Francisco, CA 94143, USA.; Department of Neurology, University of California, San Francisco, CA 94158, USA.; Eli and Edythe Broad Center of Regeneration Medicine and Stem Cell Research,  University of California, San Francisco, CA 94143, USA.; Department of Neurology, University of California, San Francisco, CA 94158, USA.; Department of Molecular and Cell Biology, University of California, Berkeley, CA,  USA.; Eli and Edythe Broad Center of Regeneration Medicine and Stem Cell Research,  University of California, San Francisco, CA 94143, USA.; Department of Pediatrics, University of California, San Francisco, CA 94143, USA.; Department of Paediatrics and Wellcome Trust-MRC Cambridge Stem Cell Institute,  University of Cambridge, Cambridge CB2 0QQ, UK.; Department of Neurosurgery, University of California, San Francisco, CA 94143,  USA.; Eli and Edythe Broad Center of Regeneration Medicine and Stem Cell Research,  University of California, San Francisco, CA 94143, USA. dmitry.velmeshev@ucsf.edu  arnold.kriegstein@ucsf.edu.; Department of Neurology, University of California, San Francisco, CA 94158, USA.&lt;/_author_adr&gt;&lt;_date_display&gt;2019 May 17&lt;/_date_display&gt;&lt;_date&gt;2019-05-17&lt;/_date&gt;&lt;_doi&gt;10.1126/science.aav8130&lt;/_doi&gt;&lt;_isbn&gt;1095-9203 (Electronic); 0036-8075 (Print); 0036-8075 (Linking)&lt;/_isbn&gt;&lt;_issue&gt;6441&lt;/_issue&gt;&lt;_journal&gt;Science&lt;/_journal&gt;&lt;_language&gt;eng&lt;/_language&gt;&lt;_ori_publication&gt;Copyright (c) 2019 The Authors, some rights reserved; exclusive licensee American _x000d__x000a_      Association for the Advancement of Science. No claim to original U.S. Government _x000d__x000a_      Works.&lt;/_ori_publication&gt;&lt;_pages&gt;685-689&lt;/_pages&gt;&lt;_subject_headings&gt;Adolescent; Autistic Disorder/*genetics/*psychology; Cell Nucleus/metabolism; Child; Child, Preschool; Female; Gene Expression Profiling; *Gene Expression Regulation; Genomics/methods; Humans; Male; Microglia/metabolism; Neocortex/*metabolism; Neurons/metabolism; Sequence Analysis, RNA; Single-Cell Analysis/methods; Young Adult&lt;/_subject_headings&gt;&lt;_tertiary_title&gt;Science (New York, N.Y.)&lt;/_tertiary_title&gt;&lt;_type_work&gt;Journal Article; Research Support, N.I.H., Extramural; Research Support, Non-U.S. Gov&amp;apos;t&lt;/_type_work&gt;&lt;_url&gt;http://www.ncbi.nlm.nih.gov/entrez/query.fcgi?cmd=Retrieve&amp;amp;db=pubmed&amp;amp;dopt=Abstract&amp;amp;list_uids=31097668&amp;amp;query_hl=1&lt;/_url&gt;&lt;_volume&gt;364&lt;/_volume&gt;&lt;_created&gt;65179371&lt;/_created&gt;&lt;_modified&gt;65179371&lt;/_modified&gt;&lt;_db_updated&gt;PubMed&lt;/_db_updated&gt;&lt;_impact_factor&gt;  47.728&lt;/_impact_factor&gt;&lt;_collection_scope&gt;SCI;SCIE&lt;/_collection_scope&gt;&lt;/Details&gt;&lt;Extra&gt;&lt;DBUID&gt;{F96A950B-833F-4880-A151-76DA2D6A2879}&lt;/DBUID&gt;&lt;/Extra&gt;&lt;/Item&gt;&lt;/References&gt;&lt;/Group&gt;&lt;/Citation&gt;_x000a_"/>
    <w:docVar w:name="NE.Ref{D1774ACF-B047-464A-AE27-38AE3BEB8A18}" w:val=" ADDIN NE.Ref.{D1774ACF-B047-464A-AE27-38AE3BEB8A18}&lt;Citation&gt;&lt;Group&gt;&lt;References&gt;&lt;Item&gt;&lt;ID&gt;827&lt;/ID&gt;&lt;UID&gt;{81ECA775-7CA6-43EB-BE2C-B7DB90969DBF}&lt;/UID&gt;&lt;Title&gt;Cytoscape: a software environment for integrated models of biomolecular  interaction networks&lt;/Title&gt;&lt;Template&gt;Journal Article&lt;/Template&gt;&lt;Star&gt;0&lt;/Star&gt;&lt;Tag&gt;0&lt;/Tag&gt;&lt;Author&gt;Shannon, P; Markiel, A; Ozier, O; Baliga, N S; Wang, J T; Ramage, D; Amin, N; Schwikowski, B; Ideker, T&lt;/Author&gt;&lt;Year&gt;2003&lt;/Year&gt;&lt;Details&gt;&lt;_accession_num&gt;14597658&lt;/_accession_num&gt;&lt;_author_adr&gt;Institute for Systems Biology, Seattle, Washington 98103, USA.&lt;/_author_adr&gt;&lt;_date_display&gt;2003 Nov&lt;/_date_display&gt;&lt;_date&gt;2003-11-01&lt;/_date&gt;&lt;_doi&gt;10.1101/gr.1239303&lt;/_doi&gt;&lt;_isbn&gt;1088-9051 (Print); 1088-9051 (Linking)&lt;/_isbn&gt;&lt;_issue&gt;11&lt;/_issue&gt;&lt;_journal&gt;Genome Res&lt;/_journal&gt;&lt;_language&gt;eng&lt;/_language&gt;&lt;_pages&gt;2498-504&lt;/_pages&gt;&lt;_subject_headings&gt;Algorithms; Archaeal Proteins/chemistry/metabolism; Bacteriophage lambda/physiology; Computational Biology/*methods; Halobacterium/chemistry/cytology/physiology; Internet; *Models, Biological; *Neural Networks, Computer; Phenotype; Software/*trends; *Software Design; Stochastic Processes&lt;/_subject_headings&gt;&lt;_tertiary_title&gt;Genome research&lt;/_tertiary_title&gt;&lt;_type_work&gt;Journal Article; Research Support, Non-U.S. Gov&amp;apos;t; Research Support, U.S. Gov&amp;apos;t, Non-P.H.S.; Research Support, U.S. Gov&amp;apos;t, P.H.S.&lt;/_type_work&gt;&lt;_url&gt;http://www.ncbi.nlm.nih.gov/entrez/query.fcgi?cmd=Retrieve&amp;amp;db=pubmed&amp;amp;dopt=Abstract&amp;amp;list_uids=14597658&amp;amp;query_hl=1&lt;/_url&gt;&lt;_volume&gt;13&lt;/_volume&gt;&lt;_created&gt;65182594&lt;/_created&gt;&lt;_modified&gt;65182594&lt;/_modified&gt;&lt;_db_updated&gt;PubMed&lt;/_db_updated&gt;&lt;_impact_factor&gt;   9.043&lt;/_impact_factor&gt;&lt;_collection_scope&gt;SCI;SCIE&lt;/_collection_scope&gt;&lt;/Details&gt;&lt;Extra&gt;&lt;DBUID&gt;{F96A950B-833F-4880-A151-76DA2D6A2879}&lt;/DBUID&gt;&lt;/Extra&gt;&lt;/Item&gt;&lt;/References&gt;&lt;/Group&gt;&lt;/Citation&gt;_x000a_"/>
    <w:docVar w:name="ne_docsoft" w:val="MSWord"/>
    <w:docVar w:name="ne_docversion" w:val="NoteExpress 2.0"/>
    <w:docVar w:name="ne_stylename" w:val="华中农业大学"/>
  </w:docVars>
  <w:rsids>
    <w:rsidRoot w:val="00172A27"/>
    <w:rsid w:val="002C6F74"/>
    <w:rsid w:val="00382DEE"/>
    <w:rsid w:val="00545738"/>
    <w:rsid w:val="009E2D09"/>
    <w:rsid w:val="00B2494D"/>
    <w:rsid w:val="00DB20F7"/>
    <w:rsid w:val="016D1C04"/>
    <w:rsid w:val="01C55767"/>
    <w:rsid w:val="01C62C60"/>
    <w:rsid w:val="01D82154"/>
    <w:rsid w:val="01E07299"/>
    <w:rsid w:val="020B6FE8"/>
    <w:rsid w:val="029F7154"/>
    <w:rsid w:val="02A35910"/>
    <w:rsid w:val="02D44814"/>
    <w:rsid w:val="03200699"/>
    <w:rsid w:val="037C31D9"/>
    <w:rsid w:val="03EE3EEF"/>
    <w:rsid w:val="040229B9"/>
    <w:rsid w:val="04304467"/>
    <w:rsid w:val="04431B4F"/>
    <w:rsid w:val="04544FDD"/>
    <w:rsid w:val="04D87928"/>
    <w:rsid w:val="04E80661"/>
    <w:rsid w:val="0559025B"/>
    <w:rsid w:val="055D57AA"/>
    <w:rsid w:val="057C5089"/>
    <w:rsid w:val="05984F94"/>
    <w:rsid w:val="05F72D00"/>
    <w:rsid w:val="06510842"/>
    <w:rsid w:val="06786C42"/>
    <w:rsid w:val="068F128E"/>
    <w:rsid w:val="07962460"/>
    <w:rsid w:val="07B216D8"/>
    <w:rsid w:val="08236647"/>
    <w:rsid w:val="09556B95"/>
    <w:rsid w:val="097217F4"/>
    <w:rsid w:val="098D7432"/>
    <w:rsid w:val="09F86DDD"/>
    <w:rsid w:val="0A1569B2"/>
    <w:rsid w:val="0AB44292"/>
    <w:rsid w:val="0ABB08A3"/>
    <w:rsid w:val="0AD76471"/>
    <w:rsid w:val="0B043717"/>
    <w:rsid w:val="0B3A2FF8"/>
    <w:rsid w:val="0BB97912"/>
    <w:rsid w:val="0BC639A4"/>
    <w:rsid w:val="0BED499C"/>
    <w:rsid w:val="0C3703FE"/>
    <w:rsid w:val="0C556644"/>
    <w:rsid w:val="0C590D62"/>
    <w:rsid w:val="0CA75583"/>
    <w:rsid w:val="0CCB6C9D"/>
    <w:rsid w:val="0CE560AB"/>
    <w:rsid w:val="0D224C0A"/>
    <w:rsid w:val="0D3B0F42"/>
    <w:rsid w:val="0D676DAD"/>
    <w:rsid w:val="0D815095"/>
    <w:rsid w:val="0D927FE1"/>
    <w:rsid w:val="0DA67CA4"/>
    <w:rsid w:val="0EFC54D7"/>
    <w:rsid w:val="0F19203C"/>
    <w:rsid w:val="0F6501C2"/>
    <w:rsid w:val="0F751D64"/>
    <w:rsid w:val="0FA075B7"/>
    <w:rsid w:val="0FBD1DC3"/>
    <w:rsid w:val="0FD41DEB"/>
    <w:rsid w:val="0FD7617F"/>
    <w:rsid w:val="104E2006"/>
    <w:rsid w:val="10514F3B"/>
    <w:rsid w:val="105C48D7"/>
    <w:rsid w:val="106A1C90"/>
    <w:rsid w:val="107E484D"/>
    <w:rsid w:val="108856CC"/>
    <w:rsid w:val="11293813"/>
    <w:rsid w:val="115953C8"/>
    <w:rsid w:val="118C60FC"/>
    <w:rsid w:val="11AC53EA"/>
    <w:rsid w:val="11BA012C"/>
    <w:rsid w:val="11C564AC"/>
    <w:rsid w:val="11EF5901"/>
    <w:rsid w:val="11FA1EAF"/>
    <w:rsid w:val="128C3AEF"/>
    <w:rsid w:val="12CB18A0"/>
    <w:rsid w:val="1341695F"/>
    <w:rsid w:val="13E41A84"/>
    <w:rsid w:val="13E46542"/>
    <w:rsid w:val="142D569B"/>
    <w:rsid w:val="143C4170"/>
    <w:rsid w:val="14935CDE"/>
    <w:rsid w:val="149B087A"/>
    <w:rsid w:val="157222DE"/>
    <w:rsid w:val="15D849FF"/>
    <w:rsid w:val="160A1EA7"/>
    <w:rsid w:val="16322361"/>
    <w:rsid w:val="17303A3E"/>
    <w:rsid w:val="176C3651"/>
    <w:rsid w:val="17726462"/>
    <w:rsid w:val="17775A2A"/>
    <w:rsid w:val="18001FEB"/>
    <w:rsid w:val="180D7AE7"/>
    <w:rsid w:val="18575CB1"/>
    <w:rsid w:val="186005E0"/>
    <w:rsid w:val="18664544"/>
    <w:rsid w:val="19783AB2"/>
    <w:rsid w:val="1B0B230E"/>
    <w:rsid w:val="1B7B09AA"/>
    <w:rsid w:val="1B974A15"/>
    <w:rsid w:val="1BBE01F3"/>
    <w:rsid w:val="1BFE6842"/>
    <w:rsid w:val="1C2B2859"/>
    <w:rsid w:val="1CDB0A68"/>
    <w:rsid w:val="1CFC2F21"/>
    <w:rsid w:val="1D255D43"/>
    <w:rsid w:val="1D3C1D18"/>
    <w:rsid w:val="1D4F555A"/>
    <w:rsid w:val="1D610DAC"/>
    <w:rsid w:val="1DC7505E"/>
    <w:rsid w:val="1DE85D03"/>
    <w:rsid w:val="1E2F7E5D"/>
    <w:rsid w:val="1E3D18A3"/>
    <w:rsid w:val="1E8B7A5A"/>
    <w:rsid w:val="1E914A3A"/>
    <w:rsid w:val="1ED9288C"/>
    <w:rsid w:val="1F2E01AD"/>
    <w:rsid w:val="1F4153C3"/>
    <w:rsid w:val="1F5570C1"/>
    <w:rsid w:val="1F911825"/>
    <w:rsid w:val="1F9449CB"/>
    <w:rsid w:val="1FC91AFB"/>
    <w:rsid w:val="1FCA1E84"/>
    <w:rsid w:val="1FE4066F"/>
    <w:rsid w:val="1FE5361E"/>
    <w:rsid w:val="202B4282"/>
    <w:rsid w:val="205253AE"/>
    <w:rsid w:val="2068164B"/>
    <w:rsid w:val="20B63B8F"/>
    <w:rsid w:val="20E56222"/>
    <w:rsid w:val="221548E5"/>
    <w:rsid w:val="222658BE"/>
    <w:rsid w:val="22362F46"/>
    <w:rsid w:val="22521696"/>
    <w:rsid w:val="22737689"/>
    <w:rsid w:val="22961CDF"/>
    <w:rsid w:val="23077AFA"/>
    <w:rsid w:val="2353638A"/>
    <w:rsid w:val="23621DAC"/>
    <w:rsid w:val="236817F3"/>
    <w:rsid w:val="237D091B"/>
    <w:rsid w:val="23A45B3B"/>
    <w:rsid w:val="24237C58"/>
    <w:rsid w:val="24397681"/>
    <w:rsid w:val="24487871"/>
    <w:rsid w:val="246D27B7"/>
    <w:rsid w:val="24A00DDE"/>
    <w:rsid w:val="24FF5AF7"/>
    <w:rsid w:val="25421E95"/>
    <w:rsid w:val="25516886"/>
    <w:rsid w:val="25E116AE"/>
    <w:rsid w:val="26764914"/>
    <w:rsid w:val="268F0856"/>
    <w:rsid w:val="26DF5925"/>
    <w:rsid w:val="26E3368E"/>
    <w:rsid w:val="26EB64F4"/>
    <w:rsid w:val="275D3041"/>
    <w:rsid w:val="27D645EE"/>
    <w:rsid w:val="283D3DC4"/>
    <w:rsid w:val="28452C36"/>
    <w:rsid w:val="284A2313"/>
    <w:rsid w:val="28B9246E"/>
    <w:rsid w:val="296A59AC"/>
    <w:rsid w:val="29712D49"/>
    <w:rsid w:val="297139CB"/>
    <w:rsid w:val="297937B5"/>
    <w:rsid w:val="29CE3CF8"/>
    <w:rsid w:val="2A307D13"/>
    <w:rsid w:val="2A4B4255"/>
    <w:rsid w:val="2A817C1A"/>
    <w:rsid w:val="2AB7382E"/>
    <w:rsid w:val="2B376F78"/>
    <w:rsid w:val="2B720B21"/>
    <w:rsid w:val="2B782568"/>
    <w:rsid w:val="2B852ADC"/>
    <w:rsid w:val="2C1E7319"/>
    <w:rsid w:val="2D3E0EFE"/>
    <w:rsid w:val="2D9214E0"/>
    <w:rsid w:val="2D941DE5"/>
    <w:rsid w:val="2DC17C76"/>
    <w:rsid w:val="2E3F51C4"/>
    <w:rsid w:val="2E7236B1"/>
    <w:rsid w:val="2E8B2026"/>
    <w:rsid w:val="2EE21513"/>
    <w:rsid w:val="2F101A71"/>
    <w:rsid w:val="2F414F6C"/>
    <w:rsid w:val="2F8253E1"/>
    <w:rsid w:val="2F9432ED"/>
    <w:rsid w:val="30A10AD0"/>
    <w:rsid w:val="30C936C7"/>
    <w:rsid w:val="30DE3CB0"/>
    <w:rsid w:val="31216E03"/>
    <w:rsid w:val="3143665D"/>
    <w:rsid w:val="316024D5"/>
    <w:rsid w:val="31A31F0E"/>
    <w:rsid w:val="31A664BD"/>
    <w:rsid w:val="32132585"/>
    <w:rsid w:val="32172BB1"/>
    <w:rsid w:val="322F72FD"/>
    <w:rsid w:val="32B27BB3"/>
    <w:rsid w:val="32BD2BA4"/>
    <w:rsid w:val="334002FD"/>
    <w:rsid w:val="337F6C25"/>
    <w:rsid w:val="33857B1D"/>
    <w:rsid w:val="33874E80"/>
    <w:rsid w:val="33E74334"/>
    <w:rsid w:val="34830DA6"/>
    <w:rsid w:val="34A246FE"/>
    <w:rsid w:val="34D2324D"/>
    <w:rsid w:val="34DD5910"/>
    <w:rsid w:val="357D1EB2"/>
    <w:rsid w:val="358E07DF"/>
    <w:rsid w:val="36407D2B"/>
    <w:rsid w:val="36883480"/>
    <w:rsid w:val="36C94758"/>
    <w:rsid w:val="36D6243D"/>
    <w:rsid w:val="373A29CC"/>
    <w:rsid w:val="37C8622A"/>
    <w:rsid w:val="37CD1641"/>
    <w:rsid w:val="383047E0"/>
    <w:rsid w:val="38582320"/>
    <w:rsid w:val="386E2DF5"/>
    <w:rsid w:val="38A609AF"/>
    <w:rsid w:val="38A8605B"/>
    <w:rsid w:val="38B7793A"/>
    <w:rsid w:val="38DA2E89"/>
    <w:rsid w:val="391A0B04"/>
    <w:rsid w:val="39326064"/>
    <w:rsid w:val="39CB2002"/>
    <w:rsid w:val="39CD587C"/>
    <w:rsid w:val="39F01A68"/>
    <w:rsid w:val="39F57D01"/>
    <w:rsid w:val="39FA28E7"/>
    <w:rsid w:val="3A1A1EE2"/>
    <w:rsid w:val="3A1D3C3D"/>
    <w:rsid w:val="3A576B5D"/>
    <w:rsid w:val="3AAF622B"/>
    <w:rsid w:val="3B210230"/>
    <w:rsid w:val="3B6A75F8"/>
    <w:rsid w:val="3B7A2E39"/>
    <w:rsid w:val="3B865091"/>
    <w:rsid w:val="3BA7084C"/>
    <w:rsid w:val="3BA75EBF"/>
    <w:rsid w:val="3BA90120"/>
    <w:rsid w:val="3BFF2436"/>
    <w:rsid w:val="3D107661"/>
    <w:rsid w:val="3D1E4B3E"/>
    <w:rsid w:val="3D363C36"/>
    <w:rsid w:val="3D8C298A"/>
    <w:rsid w:val="3E067AAC"/>
    <w:rsid w:val="3E316062"/>
    <w:rsid w:val="3E3D4728"/>
    <w:rsid w:val="3EEF08E6"/>
    <w:rsid w:val="3EF868E3"/>
    <w:rsid w:val="3F4641F8"/>
    <w:rsid w:val="3F5C062A"/>
    <w:rsid w:val="3FA7706D"/>
    <w:rsid w:val="3FD17C46"/>
    <w:rsid w:val="401A30F6"/>
    <w:rsid w:val="407B6AD6"/>
    <w:rsid w:val="41435F45"/>
    <w:rsid w:val="416A1A6E"/>
    <w:rsid w:val="4200433D"/>
    <w:rsid w:val="42207AA8"/>
    <w:rsid w:val="430D71E7"/>
    <w:rsid w:val="43474762"/>
    <w:rsid w:val="437E0BEF"/>
    <w:rsid w:val="43AF09EA"/>
    <w:rsid w:val="43B64F29"/>
    <w:rsid w:val="43BE6733"/>
    <w:rsid w:val="443D1D4E"/>
    <w:rsid w:val="444B446B"/>
    <w:rsid w:val="44AB453E"/>
    <w:rsid w:val="45815AAA"/>
    <w:rsid w:val="45B14C3C"/>
    <w:rsid w:val="45EA6BA0"/>
    <w:rsid w:val="460A6CD0"/>
    <w:rsid w:val="463902F3"/>
    <w:rsid w:val="464A1597"/>
    <w:rsid w:val="465A53F1"/>
    <w:rsid w:val="46A315F3"/>
    <w:rsid w:val="46BA2DF9"/>
    <w:rsid w:val="46F671E7"/>
    <w:rsid w:val="472D1DA2"/>
    <w:rsid w:val="47406DA1"/>
    <w:rsid w:val="47596E9F"/>
    <w:rsid w:val="47634395"/>
    <w:rsid w:val="477657CD"/>
    <w:rsid w:val="47DD7AD0"/>
    <w:rsid w:val="483D609E"/>
    <w:rsid w:val="48585198"/>
    <w:rsid w:val="48952158"/>
    <w:rsid w:val="48987BA6"/>
    <w:rsid w:val="48EF5642"/>
    <w:rsid w:val="491263CD"/>
    <w:rsid w:val="49622311"/>
    <w:rsid w:val="49B3235C"/>
    <w:rsid w:val="4A3724C0"/>
    <w:rsid w:val="4B06733D"/>
    <w:rsid w:val="4B2D3A2B"/>
    <w:rsid w:val="4B602854"/>
    <w:rsid w:val="4B693428"/>
    <w:rsid w:val="4BF32505"/>
    <w:rsid w:val="4C107D48"/>
    <w:rsid w:val="4C113007"/>
    <w:rsid w:val="4C1D7FB6"/>
    <w:rsid w:val="4C8D2C75"/>
    <w:rsid w:val="4C934C01"/>
    <w:rsid w:val="4D265A75"/>
    <w:rsid w:val="4D4612DC"/>
    <w:rsid w:val="4DAC0C96"/>
    <w:rsid w:val="4DC00DBE"/>
    <w:rsid w:val="4E10035F"/>
    <w:rsid w:val="4E465CA3"/>
    <w:rsid w:val="4E4B5067"/>
    <w:rsid w:val="4E9E6991"/>
    <w:rsid w:val="4ED93141"/>
    <w:rsid w:val="4EE17D7E"/>
    <w:rsid w:val="4F6743DB"/>
    <w:rsid w:val="4F8C0062"/>
    <w:rsid w:val="4FE94138"/>
    <w:rsid w:val="4FF534DD"/>
    <w:rsid w:val="504D3319"/>
    <w:rsid w:val="50966A6E"/>
    <w:rsid w:val="514C35D0"/>
    <w:rsid w:val="514E7348"/>
    <w:rsid w:val="5152541F"/>
    <w:rsid w:val="516E6F9C"/>
    <w:rsid w:val="516F4FDA"/>
    <w:rsid w:val="5176064D"/>
    <w:rsid w:val="517E4BB7"/>
    <w:rsid w:val="51D07D5D"/>
    <w:rsid w:val="522105B9"/>
    <w:rsid w:val="524F20D5"/>
    <w:rsid w:val="52C642BE"/>
    <w:rsid w:val="52EE325A"/>
    <w:rsid w:val="530F48B5"/>
    <w:rsid w:val="531F748E"/>
    <w:rsid w:val="539E5ED4"/>
    <w:rsid w:val="53AC47FA"/>
    <w:rsid w:val="53F561A1"/>
    <w:rsid w:val="54624EB9"/>
    <w:rsid w:val="54A93731"/>
    <w:rsid w:val="54B22887"/>
    <w:rsid w:val="54BD3C5D"/>
    <w:rsid w:val="54CC6F9C"/>
    <w:rsid w:val="54E5041F"/>
    <w:rsid w:val="55976340"/>
    <w:rsid w:val="55E71B19"/>
    <w:rsid w:val="56BB4CA3"/>
    <w:rsid w:val="56CC14A3"/>
    <w:rsid w:val="56CF5294"/>
    <w:rsid w:val="57C40364"/>
    <w:rsid w:val="57FB18AC"/>
    <w:rsid w:val="58070251"/>
    <w:rsid w:val="580D3DA0"/>
    <w:rsid w:val="58242BB1"/>
    <w:rsid w:val="585E58A5"/>
    <w:rsid w:val="58B8511B"/>
    <w:rsid w:val="58E612BC"/>
    <w:rsid w:val="590B222D"/>
    <w:rsid w:val="590C152F"/>
    <w:rsid w:val="592B727B"/>
    <w:rsid w:val="59445C8D"/>
    <w:rsid w:val="595C5ED8"/>
    <w:rsid w:val="596D56CB"/>
    <w:rsid w:val="598619CB"/>
    <w:rsid w:val="59D51588"/>
    <w:rsid w:val="5AA955EF"/>
    <w:rsid w:val="5AB2327F"/>
    <w:rsid w:val="5AB550E6"/>
    <w:rsid w:val="5AC362C4"/>
    <w:rsid w:val="5ADC7E2A"/>
    <w:rsid w:val="5BA81D4B"/>
    <w:rsid w:val="5BC357F5"/>
    <w:rsid w:val="5BCC7162"/>
    <w:rsid w:val="5BD46EBF"/>
    <w:rsid w:val="5BF679F4"/>
    <w:rsid w:val="5C24551E"/>
    <w:rsid w:val="5C5B7DD9"/>
    <w:rsid w:val="5CC46711"/>
    <w:rsid w:val="5D0A6736"/>
    <w:rsid w:val="5DA0439E"/>
    <w:rsid w:val="5DA24094"/>
    <w:rsid w:val="5DA65EFA"/>
    <w:rsid w:val="5DAC504B"/>
    <w:rsid w:val="5DD912D0"/>
    <w:rsid w:val="5E1A2661"/>
    <w:rsid w:val="5E1E6E4E"/>
    <w:rsid w:val="5E452ACB"/>
    <w:rsid w:val="5EC93D1C"/>
    <w:rsid w:val="5ED03A93"/>
    <w:rsid w:val="5EFD5F0A"/>
    <w:rsid w:val="5F4E5F74"/>
    <w:rsid w:val="5F720D05"/>
    <w:rsid w:val="5FC1288A"/>
    <w:rsid w:val="60116360"/>
    <w:rsid w:val="601259E5"/>
    <w:rsid w:val="606C77EB"/>
    <w:rsid w:val="6070010A"/>
    <w:rsid w:val="60AF53E5"/>
    <w:rsid w:val="60F12DDE"/>
    <w:rsid w:val="613126F2"/>
    <w:rsid w:val="61D63FB3"/>
    <w:rsid w:val="62102E78"/>
    <w:rsid w:val="63557E50"/>
    <w:rsid w:val="63CB3488"/>
    <w:rsid w:val="63F82361"/>
    <w:rsid w:val="64523F37"/>
    <w:rsid w:val="647E189B"/>
    <w:rsid w:val="64BA3A56"/>
    <w:rsid w:val="659C1334"/>
    <w:rsid w:val="65DE52E9"/>
    <w:rsid w:val="66170E2B"/>
    <w:rsid w:val="66257375"/>
    <w:rsid w:val="665667E6"/>
    <w:rsid w:val="667B0788"/>
    <w:rsid w:val="674429F1"/>
    <w:rsid w:val="67EC36E4"/>
    <w:rsid w:val="68063102"/>
    <w:rsid w:val="68203AC1"/>
    <w:rsid w:val="68232E85"/>
    <w:rsid w:val="69051BB9"/>
    <w:rsid w:val="69310E60"/>
    <w:rsid w:val="697C0CCB"/>
    <w:rsid w:val="697F058F"/>
    <w:rsid w:val="69817558"/>
    <w:rsid w:val="6A0C77EE"/>
    <w:rsid w:val="6A535EBD"/>
    <w:rsid w:val="6A55198B"/>
    <w:rsid w:val="6A9105EA"/>
    <w:rsid w:val="6A910EFD"/>
    <w:rsid w:val="6AB51D8E"/>
    <w:rsid w:val="6AF16947"/>
    <w:rsid w:val="6AF92B4D"/>
    <w:rsid w:val="6AFC003E"/>
    <w:rsid w:val="6AFF300A"/>
    <w:rsid w:val="6B312972"/>
    <w:rsid w:val="6B4052E2"/>
    <w:rsid w:val="6B6317EA"/>
    <w:rsid w:val="6B827EC3"/>
    <w:rsid w:val="6B99647B"/>
    <w:rsid w:val="6BD0480D"/>
    <w:rsid w:val="6C0A7EB8"/>
    <w:rsid w:val="6C4A0D2A"/>
    <w:rsid w:val="6CFD2224"/>
    <w:rsid w:val="6D2704D3"/>
    <w:rsid w:val="6D8F2370"/>
    <w:rsid w:val="6D9914F3"/>
    <w:rsid w:val="6DA02484"/>
    <w:rsid w:val="6E144C91"/>
    <w:rsid w:val="6E602EC2"/>
    <w:rsid w:val="6F35349E"/>
    <w:rsid w:val="6FDC1B6B"/>
    <w:rsid w:val="6FF12776"/>
    <w:rsid w:val="6FFB5580"/>
    <w:rsid w:val="70537617"/>
    <w:rsid w:val="70B82362"/>
    <w:rsid w:val="70ED12BC"/>
    <w:rsid w:val="71325EE7"/>
    <w:rsid w:val="71D62C22"/>
    <w:rsid w:val="71E162A9"/>
    <w:rsid w:val="723512A2"/>
    <w:rsid w:val="7270457F"/>
    <w:rsid w:val="72AB25EC"/>
    <w:rsid w:val="72B164D7"/>
    <w:rsid w:val="72DF2B74"/>
    <w:rsid w:val="72F30E35"/>
    <w:rsid w:val="7308232E"/>
    <w:rsid w:val="73191C23"/>
    <w:rsid w:val="73245D38"/>
    <w:rsid w:val="7327180D"/>
    <w:rsid w:val="73A015F7"/>
    <w:rsid w:val="742F7B40"/>
    <w:rsid w:val="74307AF0"/>
    <w:rsid w:val="746C30B6"/>
    <w:rsid w:val="747351D5"/>
    <w:rsid w:val="748E221B"/>
    <w:rsid w:val="757139A8"/>
    <w:rsid w:val="75887B3C"/>
    <w:rsid w:val="76156E72"/>
    <w:rsid w:val="762F50EB"/>
    <w:rsid w:val="764C692D"/>
    <w:rsid w:val="76931C3B"/>
    <w:rsid w:val="76C119A4"/>
    <w:rsid w:val="76CD220E"/>
    <w:rsid w:val="7718792D"/>
    <w:rsid w:val="77C61BDD"/>
    <w:rsid w:val="77FC2DAB"/>
    <w:rsid w:val="782D62AE"/>
    <w:rsid w:val="78361C89"/>
    <w:rsid w:val="784976CA"/>
    <w:rsid w:val="78A078D5"/>
    <w:rsid w:val="78CC351E"/>
    <w:rsid w:val="78F9553C"/>
    <w:rsid w:val="790A7749"/>
    <w:rsid w:val="790C1713"/>
    <w:rsid w:val="790D7D78"/>
    <w:rsid w:val="79354F25"/>
    <w:rsid w:val="793A1DDD"/>
    <w:rsid w:val="795656B8"/>
    <w:rsid w:val="79656093"/>
    <w:rsid w:val="799F1B79"/>
    <w:rsid w:val="79A4165E"/>
    <w:rsid w:val="79C1605A"/>
    <w:rsid w:val="79D253CF"/>
    <w:rsid w:val="7A47480E"/>
    <w:rsid w:val="7AB1578A"/>
    <w:rsid w:val="7AC86688"/>
    <w:rsid w:val="7B2F52FF"/>
    <w:rsid w:val="7B5D3559"/>
    <w:rsid w:val="7B624EAE"/>
    <w:rsid w:val="7BBA3AF6"/>
    <w:rsid w:val="7C8D1210"/>
    <w:rsid w:val="7CE26B65"/>
    <w:rsid w:val="7D102A45"/>
    <w:rsid w:val="7D254B52"/>
    <w:rsid w:val="7D5E6375"/>
    <w:rsid w:val="7E5F5E41"/>
    <w:rsid w:val="7E803351"/>
    <w:rsid w:val="7EB02B41"/>
    <w:rsid w:val="7EB20667"/>
    <w:rsid w:val="7F0370C7"/>
    <w:rsid w:val="7F2F76E5"/>
    <w:rsid w:val="7F3A7053"/>
    <w:rsid w:val="7F9100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80" w:firstLineChars="200"/>
      <w:jc w:val="left"/>
    </w:pPr>
    <w:rPr>
      <w:rFonts w:ascii="Times New Roman" w:hAnsi="Times New Roman" w:eastAsia="宋体" w:cs="Times New Roman"/>
      <w:kern w:val="2"/>
      <w:sz w:val="24"/>
      <w:szCs w:val="24"/>
      <w:lang w:val="en-US" w:eastAsia="zh-CN" w:bidi="ar-SA"/>
    </w:rPr>
  </w:style>
  <w:style w:type="paragraph" w:styleId="2">
    <w:name w:val="heading 1"/>
    <w:basedOn w:val="1"/>
    <w:next w:val="1"/>
    <w:link w:val="14"/>
    <w:qFormat/>
    <w:uiPriority w:val="0"/>
    <w:pPr>
      <w:keepNext/>
      <w:keepLines/>
      <w:widowControl w:val="0"/>
      <w:spacing w:beforeLines="0" w:beforeAutospacing="0" w:afterLines="0" w:afterAutospacing="0" w:line="360" w:lineRule="auto"/>
      <w:ind w:firstLine="0" w:firstLineChars="0"/>
      <w:jc w:val="left"/>
      <w:outlineLvl w:val="0"/>
    </w:pPr>
    <w:rPr>
      <w:rFonts w:eastAsia="黑体"/>
      <w:kern w:val="44"/>
      <w:sz w:val="28"/>
    </w:rPr>
  </w:style>
  <w:style w:type="paragraph" w:styleId="3">
    <w:name w:val="heading 2"/>
    <w:next w:val="1"/>
    <w:unhideWhenUsed/>
    <w:qFormat/>
    <w:uiPriority w:val="0"/>
    <w:pPr>
      <w:keepNext w:val="0"/>
      <w:keepLines w:val="0"/>
      <w:widowControl w:val="0"/>
      <w:spacing w:beforeLines="0" w:beforeAutospacing="0" w:afterLines="0" w:afterAutospacing="0" w:line="360" w:lineRule="auto"/>
      <w:ind w:firstLine="0" w:firstLineChars="0"/>
      <w:jc w:val="left"/>
      <w:outlineLvl w:val="1"/>
    </w:pPr>
    <w:rPr>
      <w:rFonts w:ascii="Times New Roman" w:hAnsi="Times New Roman" w:eastAsia="黑体" w:cs="Times New Roman"/>
      <w:kern w:val="2"/>
      <w:sz w:val="24"/>
      <w:szCs w:val="24"/>
      <w:lang w:val="en-US" w:eastAsia="zh-CN" w:bidi="ar-SA"/>
    </w:rPr>
  </w:style>
  <w:style w:type="paragraph" w:styleId="4">
    <w:name w:val="heading 3"/>
    <w:next w:val="1"/>
    <w:unhideWhenUsed/>
    <w:qFormat/>
    <w:uiPriority w:val="0"/>
    <w:pPr>
      <w:keepNext/>
      <w:keepLines/>
      <w:widowControl w:val="0"/>
      <w:spacing w:beforeLines="0" w:beforeAutospacing="0" w:afterLines="0" w:afterAutospacing="0" w:line="360" w:lineRule="auto"/>
      <w:ind w:firstLine="0" w:firstLineChars="0"/>
      <w:jc w:val="left"/>
      <w:outlineLvl w:val="2"/>
    </w:pPr>
    <w:rPr>
      <w:rFonts w:ascii="Times New Roman" w:hAnsi="Times New Roman" w:eastAsia="楷体" w:cs="Times New Roman"/>
      <w:kern w:val="2"/>
      <w:sz w:val="24"/>
      <w:szCs w:val="24"/>
      <w:lang w:val="en-US" w:eastAsia="zh-CN" w:bidi="ar-SA"/>
    </w:rPr>
  </w:style>
  <w:style w:type="paragraph" w:styleId="5">
    <w:name w:val="heading 4"/>
    <w:basedOn w:val="1"/>
    <w:next w:val="1"/>
    <w:unhideWhenUsed/>
    <w:qFormat/>
    <w:uiPriority w:val="0"/>
    <w:pPr>
      <w:keepNext/>
      <w:keepLines/>
      <w:spacing w:beforeLines="0" w:beforeAutospacing="0" w:afterLines="0" w:afterAutospacing="0" w:line="360" w:lineRule="auto"/>
      <w:ind w:firstLine="0" w:firstLineChars="0"/>
      <w:outlineLvl w:val="3"/>
    </w:pPr>
    <w:rPr>
      <w:rFonts w:ascii="Times New Roman" w:hAnsi="Times New Roman" w:eastAsia="楷体"/>
    </w:rPr>
  </w:style>
  <w:style w:type="paragraph" w:styleId="6">
    <w:name w:val="heading 5"/>
    <w:basedOn w:val="1"/>
    <w:next w:val="1"/>
    <w:semiHidden/>
    <w:unhideWhenUsed/>
    <w:qFormat/>
    <w:uiPriority w:val="0"/>
    <w:pPr>
      <w:keepNext/>
      <w:keepLines/>
      <w:spacing w:beforeLines="0" w:beforeAutospacing="0" w:afterLines="0" w:afterAutospacing="0" w:line="360" w:lineRule="auto"/>
      <w:ind w:firstLine="0" w:firstLineChars="0"/>
      <w:outlineLvl w:val="4"/>
    </w:pPr>
    <w:rPr>
      <w:rFonts w:eastAsia="楷体"/>
    </w:rPr>
  </w:style>
  <w:style w:type="paragraph" w:styleId="7">
    <w:name w:val="heading 6"/>
    <w:basedOn w:val="1"/>
    <w:next w:val="1"/>
    <w:semiHidden/>
    <w:unhideWhenUsed/>
    <w:qFormat/>
    <w:uiPriority w:val="0"/>
    <w:pPr>
      <w:keepNext/>
      <w:keepLines/>
      <w:spacing w:before="240" w:beforeLines="0" w:beforeAutospacing="0" w:after="64" w:afterLines="0" w:afterAutospacing="0" w:line="317" w:lineRule="auto"/>
      <w:outlineLvl w:val="5"/>
    </w:pPr>
    <w:rPr>
      <w:rFonts w:ascii="Times New Roman" w:hAnsi="Times New Roman" w:eastAsia="楷体"/>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footer"/>
    <w:basedOn w:val="1"/>
    <w:qFormat/>
    <w:uiPriority w:val="99"/>
    <w:pPr>
      <w:tabs>
        <w:tab w:val="center" w:pos="4153"/>
        <w:tab w:val="right" w:pos="8306"/>
      </w:tabs>
      <w:snapToGrid w:val="0"/>
      <w:spacing w:line="240" w:lineRule="auto"/>
      <w:jc w:val="left"/>
    </w:pPr>
    <w:rPr>
      <w:sz w:val="18"/>
      <w:szCs w:val="18"/>
    </w:rPr>
  </w:style>
  <w:style w:type="paragraph" w:styleId="9">
    <w:name w:val="header"/>
    <w:basedOn w:val="1"/>
    <w:qFormat/>
    <w:uiPriority w:val="0"/>
    <w:pPr>
      <w:pBdr>
        <w:bottom w:val="single" w:color="auto" w:sz="6" w:space="1"/>
      </w:pBdr>
      <w:tabs>
        <w:tab w:val="center" w:pos="4153"/>
        <w:tab w:val="right" w:pos="8306"/>
      </w:tabs>
      <w:snapToGrid w:val="0"/>
      <w:spacing w:line="240" w:lineRule="auto"/>
      <w:jc w:val="center"/>
    </w:pPr>
    <w:rPr>
      <w:sz w:val="18"/>
      <w:szCs w:val="18"/>
    </w:rPr>
  </w:style>
  <w:style w:type="character" w:styleId="12">
    <w:name w:val="Strong"/>
    <w:basedOn w:val="11"/>
    <w:qFormat/>
    <w:uiPriority w:val="0"/>
    <w:rPr>
      <w:b/>
    </w:rPr>
  </w:style>
  <w:style w:type="character" w:styleId="13">
    <w:name w:val="Hyperlink"/>
    <w:basedOn w:val="11"/>
    <w:qFormat/>
    <w:uiPriority w:val="0"/>
    <w:rPr>
      <w:color w:val="0000FF"/>
      <w:u w:val="single"/>
    </w:rPr>
  </w:style>
  <w:style w:type="character" w:customStyle="1" w:styleId="14">
    <w:name w:val="标题 1 Char"/>
    <w:link w:val="2"/>
    <w:qFormat/>
    <w:uiPriority w:val="0"/>
    <w:rPr>
      <w:rFonts w:ascii="Times New Roman" w:hAnsi="Times New Roman" w:eastAsia="黑体" w:cs="Times New Roman"/>
      <w:kern w:val="44"/>
      <w:sz w:val="28"/>
      <w:szCs w:val="24"/>
      <w:lang w:val="en-US" w:eastAsia="zh-CN" w:bidi="ar-SA"/>
    </w:rPr>
  </w:style>
  <w:style w:type="paragraph" w:customStyle="1" w:styleId="15">
    <w:name w:val="目录格式_SCAU"/>
    <w:next w:val="1"/>
    <w:qFormat/>
    <w:uiPriority w:val="0"/>
    <w:pPr>
      <w:tabs>
        <w:tab w:val="right" w:leader="dot" w:pos="9183"/>
      </w:tabs>
      <w:spacing w:line="360" w:lineRule="auto"/>
    </w:pPr>
    <w:rPr>
      <w:rFonts w:hint="default" w:ascii="Times New Roman" w:hAnsi="Times New Roman" w:eastAsia="宋体" w:cstheme="minorBidi"/>
      <w:sz w:val="24"/>
    </w:rPr>
  </w:style>
  <w:style w:type="paragraph" w:customStyle="1" w:styleId="16">
    <w:name w:val="图注表注_SCAU"/>
    <w:next w:val="1"/>
    <w:qFormat/>
    <w:uiPriority w:val="0"/>
    <w:pPr>
      <w:spacing w:line="360" w:lineRule="auto"/>
      <w:jc w:val="center"/>
    </w:pPr>
    <w:rPr>
      <w:rFonts w:ascii="Times New Roman" w:hAnsi="Times New Roman" w:eastAsia="宋体" w:cstheme="minorBidi"/>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6127</Words>
  <Characters>8414</Characters>
  <Lines>0</Lines>
  <Paragraphs>0</Paragraphs>
  <TotalTime>5</TotalTime>
  <ScaleCrop>false</ScaleCrop>
  <LinksUpToDate>false</LinksUpToDate>
  <CharactersWithSpaces>8814</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2023-12-05T00:32:00Z</dcterms:created>
  <dc:creator>adol</dc:creator>
  <cp:lastModifiedBy>Ankle</cp:lastModifiedBy>
  <dcterms:modified xsi:type="dcterms:W3CDTF">2023-12-07T08:52:53Z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EEB1C378E6AB4171A4901A92EFBD0062</vt:lpwstr>
  </property>
</Properties>
</file>