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₹100 crore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