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 | Spring Boot · Microservices · REST APIs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Backend engineer running payment infrastructure that clears 500,000+ transactions a day for 2M+ users. Java/Spring Boot, Kafka, microservices. Wallet and ledger services settle over 10 billion INR daily with balances that reconcile, and AEPS, MATM and VATM orchestration holds a 99% success rate at peak through idempotent request handling and automated reconciliation. Cut p95 database latency 45% with covering indexes and Redis caching.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Core </w:t>
      </w:r>
      <w:r>
        <w:rPr>
          <w:rFonts w:ascii="Arial" w:hAnsi="Arial"/>
          <w:color w:val="333333"/>
          <w:sz w:val="20"/>
        </w:rPr>
        <w:t>Java, Spring Boot, Spring Security, Spring Data JPA, Hibernate, microservices, REST APIs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Apache Kafka, MySQL, PostgreSQL, MongoDB, Redis, transaction boundaries, covering indexes, query tuning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Platform &amp; Delivery </w:t>
      </w:r>
      <w:r>
        <w:rPr>
          <w:rFonts w:ascii="Arial" w:hAnsi="Arial"/>
          <w:color w:val="333333"/>
          <w:sz w:val="20"/>
        </w:rPr>
        <w:t>Docker, Kubernetes, GitHub Actions CI/CD, Maven, Gradle, JUnit 5, Mockito, Testcontainers, Prometheus, Grafana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Also </w:t>
      </w:r>
      <w:r>
        <w:rPr>
          <w:rFonts w:ascii="Arial" w:hAnsi="Arial"/>
          <w:color w:val="333333"/>
          <w:sz w:val="20"/>
        </w:rPr>
        <w:t>Python, React.js, JavaScript (ES6+), JWT, RBAC, OpenAPI/Swagger, idempotency keys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AEPS, MATM and VATM orchestration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automated end-of-day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Settled over </w:t>
      </w:r>
      <w:r>
        <w:rPr>
          <w:rFonts w:ascii="Arial" w:hAnsi="Arial"/>
          <w:b/>
          <w:color w:val="111111"/>
          <w:sz w:val="20"/>
        </w:rPr>
        <w:t>10 billion INR</w:t>
      </w:r>
      <w:r>
        <w:rPr>
          <w:rFonts w:ascii="Arial" w:hAnsi="Arial"/>
          <w:color w:val="333333"/>
          <w:sz w:val="20"/>
        </w:rPr>
        <w:t xml:space="preserve"> a day with balances that reconcile, by building the wallet and ledger services on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 with explicit transaction boundaries and optimistic locking.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by adding covering indexes, tuning the JPA fetch strategy to kill N+1 queries and caching hot lookups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e-governance systems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method-level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async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calls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 with dead-letter topics, and surfacing consumer lag in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workforce tracking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on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— schema design through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streaming live coordinates from Spring Boot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endpoints into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map view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Enforced Admin, Supervisor and Employee boundaries across </w:t>
      </w:r>
      <w:r>
        <w:rPr>
          <w:rFonts w:ascii="Arial" w:hAnsi="Arial"/>
          <w:b/>
          <w:color w:val="111111"/>
          <w:sz w:val="20"/>
        </w:rPr>
        <w:t>100+ client accounts</w:t>
      </w:r>
      <w:r>
        <w:rPr>
          <w:rFonts w:ascii="Arial" w:hAnsi="Arial"/>
          <w:color w:val="333333"/>
          <w:sz w:val="20"/>
        </w:rPr>
        <w:t xml:space="preserve">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method-level authorization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claims to the operations API.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Enterprise Authentication &amp; Authorization Service</w:t>
              <w:br/>
            </w:r>
            <w:r>
              <w:rPr>
                <w:rFonts w:ascii="Arial" w:hAnsi="Arial"/>
                <w:color w:val="333333"/>
                <w:sz w:val="19"/>
              </w:rPr>
              <w:t>Spring Security service handling user registration, password hashing, JWT issuance and validation, and role-mapped access control across protected REST routes.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Commerce Platform</w:t>
              <w:br/>
            </w:r>
            <w:r>
              <w:rPr>
                <w:rFonts w:ascii="Arial" w:hAnsi="Arial"/>
                <w:color w:val="333333"/>
                <w:sz w:val="19"/>
              </w:rPr>
              <w:t>PWA-enabled e-commerce platform on Spring Boot REST services with modular controllers and normalized MySQL schemas, load-verified at 500+ concurrent users.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Attendance Management &amp; Reporting Platform</w:t>
              <w:br/>
            </w:r>
            <w:r>
              <w:rPr>
                <w:rFonts w:ascii="Arial" w:hAnsi="Arial"/>
                <w:color w:val="333333"/>
                <w:sz w:val="19"/>
              </w:rPr>
              <w:t>Spring Boot service exposing REST endpoints for student registration, daily attendance logging, and scheduled Excel report generation, cutting manual record-keeping by 70%.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MySQL / REST APIs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Wallet &amp; Transaction Ledger Service</w:t>
              <w:br/>
            </w:r>
            <w:r>
              <w:rPr>
                <w:rFonts w:ascii="Arial" w:hAnsi="Arial"/>
                <w:color w:val="333333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Hibernate / MySQL / Redis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