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| Microservices · Distributed Systems · Full Stack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Spring Boot, Django, FastAPI, Node.js, Express.js, React.js, Next.js, microservices, REST APIs, idempotency, rate limiting, WebSockets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Celery, Hibernate/JPA, sharding, partitioning, query tuning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Testing, DevOps &amp; Observability </w:t>
      </w:r>
      <w:r>
        <w:rPr>
          <w:rFonts w:ascii="Arial" w:hAnsi="Arial"/>
          <w:color w:val="333333"/>
          <w:sz w:val="20"/>
        </w:rPr>
        <w:t>pytest, JUnit, Jest, Docker, Kubernetes, GitHub Actions CI/CD, Linux, Jira,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Sustained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AEPS, MATM and UPI, by making the settlement path idempotent with request keys, backoff retries and automated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by sharding and partitioning the hot tables and tuning the slowest queries against their plans.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platform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backends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microservices behind a versioned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message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work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with dead-letter handling for poison messages.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rotation,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rate limiting across every payment entry point.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Replaced a manual release process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every service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shipping through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and putting each one on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dashboards.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Improved team onboarding efficiency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, by hiring and onboarding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 and writing the runbooks and service documentation they start from.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workforce telemetry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—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backend,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while processing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GPS pings, through a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building the live map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over a WebSocket feed instead of polling.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Developer Platform</w:t>
              <w:br/>
            </w:r>
            <w:r>
              <w:rPr>
                <w:rFonts w:ascii="Arial" w:hAnsi="Arial"/>
                <w:color w:val="333333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FastAPI / React / TypeScript / Docker / npm workspaces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Polyglot Microservices Task Platform</w:t>
              <w:br/>
            </w:r>
            <w:r>
              <w:rPr>
                <w:rFonts w:ascii="Arial" w:hAnsi="Arial"/>
                <w:color w:val="333333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Django / Flask / FastAPI / React / React Native / Kubernetes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Transaction Orchestration &amp; Ledger Platform</w:t>
              <w:br/>
            </w:r>
            <w:r>
              <w:rPr>
                <w:rFonts w:ascii="Arial" w:hAnsi="Arial"/>
                <w:color w:val="333333"/>
                <w:sz w:val="19"/>
              </w:rPr>
              <w:t>Microservice platform orchestrating AEPS, MATM and UPI settlement with a transactional wallet ledger, idempotent retries, automated reconciliation and Kafka event fan-out.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LabX Design System</w:t>
              <w:br/>
            </w:r>
            <w:r>
              <w:rPr>
                <w:rFonts w:ascii="Arial" w:hAnsi="Arial"/>
                <w:color w:val="333333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Python / System Design / Technical Documentation / GitHub Pages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