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A1A1A"/>
          <w:sz w:val="40"/>
        </w:rPr>
        <w:t>Akhilesh Kumar Mishra</w:t>
      </w:r>
    </w:p>
    <w:p>
      <w:pPr>
        <w:spacing w:before="0" w:after="80"/>
        <w:jc w:val="center"/>
      </w:pPr>
      <w:r>
        <w:rPr>
          <w:rFonts w:ascii="Arial" w:hAnsi="Arial"/>
          <w:b/>
          <w:color w:val="0056B3"/>
          <w:sz w:val="24"/>
        </w:rPr>
        <w:t>Java Full Stack Developer | Spring Boot · Microservices · REST APIs</w:t>
      </w:r>
    </w:p>
    <w:p>
      <w:pPr>
        <w:spacing w:before="0" w:after="200"/>
        <w:jc w:val="center"/>
      </w:pPr>
      <w:r>
        <w:rPr>
          <w:rFonts w:ascii="Arial" w:hAnsi="Arial"/>
          <w:color w:val="555555"/>
          <w:sz w:val="19"/>
        </w:rPr>
        <w:t>+91 88580 45785   |   makhileshkumar1@gmail.com   |   linkedin.com/in/akhilesh-kumar-mishra   |   github.com/GitHub-akhilesh</w:t>
      </w:r>
    </w:p>
    <w:p>
      <w:pPr>
        <w:keepNext/>
        <w:spacing w:before="240" w:after="80"/>
        <w:pBdr>
          <w:bottom w:val="single" w:sz="8" w:space="4" w:color="0056B3"/>
        </w:pBdr>
      </w:pPr>
      <w:r>
        <w:rPr>
          <w:rFonts w:ascii="Arial" w:hAnsi="Arial"/>
          <w:b/>
          <w:color w:val="0056B3"/>
          <w:sz w:val="23"/>
        </w:rPr>
        <w:t>PROFILE</w:t>
      </w:r>
    </w:p>
    <w:p>
      <w:pPr>
        <w:spacing w:before="0" w:after="120"/>
        <w:jc w:val="both"/>
      </w:pPr>
      <w:r>
        <w:rPr>
          <w:rFonts w:ascii="Arial" w:hAnsi="Arial"/>
          <w:color w:val="333333"/>
          <w:sz w:val="20"/>
        </w:rPr>
        <w:t>Software Development Engineer specializing in Java Full Stack development, delivering secure, high-volume enterprise FinTech systems. Deep expertise in Java, Spring Boot, Spring Security, Spring Data JPA, Hibernate, and microservice architecture over MySQL and PostgreSQL. Re-architected monoliths into Spring Boot microservices serving 2 million+ users, engineered wallet and ledger services settling over 10 billion INR daily, and hardened enterprise APIs with JWT, RBAC, and device binding. Holds latency down at peak load through SQL indexing, cache tuning, and Dockerized delivery.</w:t>
      </w:r>
    </w:p>
    <w:p>
      <w:pPr>
        <w:keepNext/>
        <w:spacing w:before="240" w:after="80"/>
        <w:pBdr>
          <w:bottom w:val="single" w:sz="8" w:space="4" w:color="0056B3"/>
        </w:pBdr>
      </w:pPr>
      <w:r>
        <w:rPr>
          <w:rFonts w:ascii="Arial" w:hAnsi="Arial"/>
          <w:b/>
          <w:color w:val="0056B3"/>
          <w:sz w:val="23"/>
        </w:rPr>
        <w:t>CORE TECHNOLOGY</w:t>
      </w:r>
    </w:p>
    <w:p>
      <w:pPr>
        <w:spacing w:before="0" w:after="40"/>
      </w:pPr>
      <w:r>
        <w:rPr>
          <w:rFonts w:ascii="Arial" w:hAnsi="Arial"/>
          <w:b/>
          <w:color w:val="0056B3"/>
          <w:sz w:val="20"/>
        </w:rPr>
        <w:t xml:space="preserve">Core Java &amp; Spring </w:t>
      </w:r>
      <w:r>
        <w:rPr>
          <w:rFonts w:ascii="Arial" w:hAnsi="Arial"/>
          <w:color w:val="333333"/>
          <w:sz w:val="20"/>
        </w:rPr>
        <w:t>Core Java &amp; Spring</w:t>
        <w:br/>
        <w:t xml:space="preserve">                    Java, Spring Boot, Spring MVC, Spring Security, Spring Data JPA, Hibernate, Spring Cloud, Microservices</w:t>
      </w:r>
    </w:p>
    <w:p>
      <w:pPr>
        <w:spacing w:before="0" w:after="40"/>
      </w:pPr>
      <w:r>
        <w:rPr>
          <w:rFonts w:ascii="Arial" w:hAnsi="Arial"/>
          <w:b/>
          <w:color w:val="0056B3"/>
          <w:sz w:val="20"/>
        </w:rPr>
        <w:t xml:space="preserve">APIs, Security &amp; UI </w:t>
      </w:r>
      <w:r>
        <w:rPr>
          <w:rFonts w:ascii="Arial" w:hAnsi="Arial"/>
          <w:color w:val="333333"/>
          <w:sz w:val="20"/>
        </w:rPr>
        <w:t>APIs, Security &amp; UI</w:t>
        <w:br/>
        <w:t xml:space="preserve">                    RESTful APIs, JWT authentication, RBAC, device binding, API versioning, React.js, JavaScript (ES6+), HTML5, CSS3</w:t>
      </w:r>
    </w:p>
    <w:p>
      <w:pPr>
        <w:spacing w:before="0" w:after="40"/>
      </w:pPr>
      <w:r>
        <w:rPr>
          <w:rFonts w:ascii="Arial" w:hAnsi="Arial"/>
          <w:b/>
          <w:color w:val="0056B3"/>
          <w:sz w:val="20"/>
        </w:rPr>
        <w:t xml:space="preserve">Data &amp; Messaging </w:t>
      </w:r>
      <w:r>
        <w:rPr>
          <w:rFonts w:ascii="Arial" w:hAnsi="Arial"/>
          <w:color w:val="333333"/>
          <w:sz w:val="20"/>
        </w:rPr>
        <w:t>Data &amp; Messaging</w:t>
        <w:br/>
        <w:t xml:space="preserve">                    MySQL, PostgreSQL, transaction management, indexing, query tuning, Redis, Apache Kafka</w:t>
      </w:r>
    </w:p>
    <w:p>
      <w:pPr>
        <w:spacing w:before="0" w:after="40"/>
      </w:pPr>
      <w:r>
        <w:rPr>
          <w:rFonts w:ascii="Arial" w:hAnsi="Arial"/>
          <w:b/>
          <w:color w:val="0056B3"/>
          <w:sz w:val="20"/>
        </w:rPr>
        <w:t xml:space="preserve">Build &amp; DevOps </w:t>
      </w:r>
      <w:r>
        <w:rPr>
          <w:rFonts w:ascii="Arial" w:hAnsi="Arial"/>
          <w:color w:val="333333"/>
          <w:sz w:val="20"/>
        </w:rPr>
        <w:t>Build &amp; DevOps</w:t>
        <w:br/>
        <w:t xml:space="preserve">                    Maven, Gradle, Git, GitHub, Docker, CI/CD, Postman, Spring Boot Actuator, Prometheus, Grafana</w:t>
      </w:r>
    </w:p>
    <w:p>
      <w:pPr>
        <w:keepNext/>
        <w:spacing w:before="240" w:after="80"/>
        <w:pBdr>
          <w:bottom w:val="single" w:sz="8" w:space="4" w:color="0056B3"/>
        </w:pBdr>
      </w:pPr>
      <w:r>
        <w:rPr>
          <w:rFonts w:ascii="Arial" w:hAnsi="Arial"/>
          <w:b/>
          <w:color w:val="0056B3"/>
          <w:sz w:val="23"/>
        </w:rPr>
        <w:t>EXPERIENCE</w:t>
      </w:r>
    </w:p>
    <w:p>
      <w:pPr>
        <w:keepNext/>
        <w:spacing w:before="0" w:after="60"/>
      </w:pPr>
      <w:r>
        <w:rPr>
          <w:rFonts w:ascii="Arial" w:hAnsi="Arial"/>
          <w:i/>
          <w:color w:val="555555"/>
          <w:sz w:val="19"/>
        </w:rPr>
        <w:t xml:space="preserve">   |   Ministry of Electronics &amp; Information Technology, Govt. of India</w:t>
      </w:r>
    </w:p>
    <w:p>
      <w:pPr>
        <w:pStyle w:val="ListBullet"/>
        <w:spacing w:before="0" w:after="40"/>
        <w:ind w:left="288"/>
      </w:pPr>
      <w:r>
        <w:rPr>
          <w:rFonts w:ascii="Arial" w:hAnsi="Arial"/>
          <w:color w:val="333333"/>
          <w:sz w:val="20"/>
        </w:rPr>
        <w:t xml:space="preserve">Re-architected monolithic e-governance systems into </w:t>
      </w:r>
      <w:r>
        <w:rPr>
          <w:rFonts w:ascii="Arial" w:hAnsi="Arial"/>
          <w:b/>
          <w:color w:val="111111"/>
          <w:sz w:val="20"/>
        </w:rPr>
        <w:t>Java</w:t>
      </w:r>
      <w:r>
        <w:rPr>
          <w:rFonts w:ascii="Arial" w:hAnsi="Arial"/>
          <w:color w:val="333333"/>
          <w:sz w:val="20"/>
        </w:rPr>
        <w:t xml:space="preserve"> and </w:t>
      </w:r>
      <w:r>
        <w:rPr>
          <w:rFonts w:ascii="Arial" w:hAnsi="Arial"/>
          <w:b/>
          <w:color w:val="111111"/>
          <w:sz w:val="20"/>
        </w:rPr>
        <w:t>Spring Boot</w:t>
      </w:r>
      <w:r>
        <w:rPr>
          <w:rFonts w:ascii="Arial" w:hAnsi="Arial"/>
          <w:color w:val="333333"/>
          <w:sz w:val="20"/>
        </w:rPr>
        <w:t xml:space="preserve"> microservices, improving service reliability and deployment speed for </w:t>
      </w:r>
      <w:r>
        <w:rPr>
          <w:rFonts w:ascii="Arial" w:hAnsi="Arial"/>
          <w:b/>
          <w:color w:val="111111"/>
          <w:sz w:val="20"/>
        </w:rPr>
        <w:t>2 million+ active users</w:t>
      </w:r>
      <w:r>
        <w:rPr>
          <w:rFonts w:ascii="Arial" w:hAnsi="Arial"/>
          <w:color w:val="333333"/>
          <w:sz w:val="20"/>
        </w:rPr>
        <w:t>.</w:t>
      </w:r>
    </w:p>
    <w:p>
      <w:pPr>
        <w:pStyle w:val="ListBullet"/>
        <w:spacing w:before="0" w:after="40"/>
        <w:ind w:left="288"/>
      </w:pPr>
      <w:r>
        <w:rPr>
          <w:rFonts w:ascii="Arial" w:hAnsi="Arial"/>
          <w:color w:val="333333"/>
          <w:sz w:val="20"/>
        </w:rPr>
        <w:t xml:space="preserve">Architected transaction orchestration services for AEPS, MATM, and VATM platforms on </w:t>
      </w:r>
      <w:r>
        <w:rPr>
          <w:rFonts w:ascii="Arial" w:hAnsi="Arial"/>
          <w:b/>
          <w:color w:val="111111"/>
          <w:sz w:val="20"/>
        </w:rPr>
        <w:t>Spring Boot</w:t>
      </w:r>
      <w:r>
        <w:rPr>
          <w:rFonts w:ascii="Arial" w:hAnsi="Arial"/>
          <w:color w:val="333333"/>
          <w:sz w:val="20"/>
        </w:rPr>
        <w:t xml:space="preserve">, sustaining </w:t>
      </w:r>
      <w:r>
        <w:rPr>
          <w:rFonts w:ascii="Arial" w:hAnsi="Arial"/>
          <w:b/>
          <w:color w:val="111111"/>
          <w:sz w:val="20"/>
        </w:rPr>
        <w:t>500,000+ daily transactions</w:t>
      </w:r>
      <w:r>
        <w:rPr>
          <w:rFonts w:ascii="Arial" w:hAnsi="Arial"/>
          <w:color w:val="333333"/>
          <w:sz w:val="20"/>
        </w:rPr>
        <w:t xml:space="preserve"> at a </w:t>
      </w:r>
      <w:r>
        <w:rPr>
          <w:rFonts w:ascii="Arial" w:hAnsi="Arial"/>
          <w:b/>
          <w:color w:val="111111"/>
          <w:sz w:val="20"/>
        </w:rPr>
        <w:t>99% success rate</w:t>
      </w:r>
      <w:r>
        <w:rPr>
          <w:rFonts w:ascii="Arial" w:hAnsi="Arial"/>
          <w:color w:val="333333"/>
          <w:sz w:val="20"/>
        </w:rPr>
        <w:t>.</w:t>
      </w:r>
    </w:p>
    <w:p>
      <w:pPr>
        <w:pStyle w:val="ListBullet"/>
        <w:spacing w:before="0" w:after="40"/>
        <w:ind w:left="288"/>
      </w:pPr>
      <w:r>
        <w:rPr>
          <w:rFonts w:ascii="Arial" w:hAnsi="Arial"/>
          <w:color w:val="333333"/>
          <w:sz w:val="20"/>
        </w:rPr>
        <w:t xml:space="preserve">Hardened enterprise APIs with </w:t>
      </w:r>
      <w:r>
        <w:rPr>
          <w:rFonts w:ascii="Arial" w:hAnsi="Arial"/>
          <w:b/>
          <w:color w:val="111111"/>
          <w:sz w:val="20"/>
        </w:rPr>
        <w:t>Spring Security</w:t>
      </w:r>
      <w:r>
        <w:rPr>
          <w:rFonts w:ascii="Arial" w:hAnsi="Arial"/>
          <w:color w:val="333333"/>
          <w:sz w:val="20"/>
        </w:rPr>
        <w:t xml:space="preserve">, </w:t>
      </w:r>
      <w:r>
        <w:rPr>
          <w:rFonts w:ascii="Arial" w:hAnsi="Arial"/>
          <w:b/>
          <w:color w:val="111111"/>
          <w:sz w:val="20"/>
        </w:rPr>
        <w:t>JWT</w:t>
      </w:r>
      <w:r>
        <w:rPr>
          <w:rFonts w:ascii="Arial" w:hAnsi="Arial"/>
          <w:color w:val="333333"/>
          <w:sz w:val="20"/>
        </w:rPr>
        <w:t xml:space="preserve"> authentication, and role-based access control (</w:t>
      </w:r>
      <w:r>
        <w:rPr>
          <w:rFonts w:ascii="Arial" w:hAnsi="Arial"/>
          <w:b/>
          <w:color w:val="111111"/>
          <w:sz w:val="20"/>
        </w:rPr>
        <w:t>RBAC</w:t>
      </w:r>
      <w:r>
        <w:rPr>
          <w:rFonts w:ascii="Arial" w:hAnsi="Arial"/>
          <w:color w:val="333333"/>
          <w:sz w:val="20"/>
        </w:rPr>
        <w:t>), adding device binding and OTP retry policies.</w:t>
      </w:r>
    </w:p>
    <w:p>
      <w:pPr>
        <w:pStyle w:val="ListBullet"/>
        <w:spacing w:before="0" w:after="40"/>
        <w:ind w:left="288"/>
      </w:pPr>
      <w:r>
        <w:rPr>
          <w:rFonts w:ascii="Arial" w:hAnsi="Arial"/>
          <w:color w:val="333333"/>
          <w:sz w:val="20"/>
        </w:rPr>
        <w:t xml:space="preserve">Engineered wallet and ledger services with </w:t>
      </w:r>
      <w:r>
        <w:rPr>
          <w:rFonts w:ascii="Arial" w:hAnsi="Arial"/>
          <w:b/>
          <w:color w:val="111111"/>
          <w:sz w:val="20"/>
        </w:rPr>
        <w:t>Spring Data JPA</w:t>
      </w:r>
      <w:r>
        <w:rPr>
          <w:rFonts w:ascii="Arial" w:hAnsi="Arial"/>
          <w:color w:val="333333"/>
          <w:sz w:val="20"/>
        </w:rPr>
        <w:t xml:space="preserve"> and </w:t>
      </w:r>
      <w:r>
        <w:rPr>
          <w:rFonts w:ascii="Arial" w:hAnsi="Arial"/>
          <w:b/>
          <w:color w:val="111111"/>
          <w:sz w:val="20"/>
        </w:rPr>
        <w:t>Hibernate</w:t>
      </w:r>
      <w:r>
        <w:rPr>
          <w:rFonts w:ascii="Arial" w:hAnsi="Arial"/>
          <w:color w:val="333333"/>
          <w:sz w:val="20"/>
        </w:rPr>
        <w:t xml:space="preserve">, settling over </w:t>
      </w:r>
      <w:r>
        <w:rPr>
          <w:rFonts w:ascii="Arial" w:hAnsi="Arial"/>
          <w:b/>
          <w:color w:val="111111"/>
          <w:sz w:val="20"/>
        </w:rPr>
        <w:t>10 billion INR</w:t>
      </w:r>
      <w:r>
        <w:rPr>
          <w:rFonts w:ascii="Arial" w:hAnsi="Arial"/>
          <w:color w:val="333333"/>
          <w:sz w:val="20"/>
        </w:rPr>
        <w:t xml:space="preserve"> in daily transaction value with consistent balances.</w:t>
      </w:r>
    </w:p>
    <w:p>
      <w:pPr>
        <w:pStyle w:val="ListBullet"/>
        <w:spacing w:before="0" w:after="40"/>
        <w:ind w:left="288"/>
      </w:pPr>
      <w:r>
        <w:rPr>
          <w:rFonts w:ascii="Arial" w:hAnsi="Arial"/>
          <w:color w:val="333333"/>
          <w:sz w:val="20"/>
        </w:rPr>
        <w:t xml:space="preserve">Optimized </w:t>
      </w:r>
      <w:r>
        <w:rPr>
          <w:rFonts w:ascii="Arial" w:hAnsi="Arial"/>
          <w:b/>
          <w:color w:val="111111"/>
          <w:sz w:val="20"/>
        </w:rPr>
        <w:t>MySQL</w:t>
      </w:r>
      <w:r>
        <w:rPr>
          <w:rFonts w:ascii="Arial" w:hAnsi="Arial"/>
          <w:color w:val="333333"/>
          <w:sz w:val="20"/>
        </w:rPr>
        <w:t xml:space="preserve"> and </w:t>
      </w:r>
      <w:r>
        <w:rPr>
          <w:rFonts w:ascii="Arial" w:hAnsi="Arial"/>
          <w:b/>
          <w:color w:val="111111"/>
          <w:sz w:val="20"/>
        </w:rPr>
        <w:t>PostgreSQL</w:t>
      </w:r>
      <w:r>
        <w:rPr>
          <w:rFonts w:ascii="Arial" w:hAnsi="Arial"/>
          <w:color w:val="333333"/>
          <w:sz w:val="20"/>
        </w:rPr>
        <w:t xml:space="preserve"> transactions and search queries through indexing and cache tuning, cutting read/write latency by </w:t>
      </w:r>
      <w:r>
        <w:rPr>
          <w:rFonts w:ascii="Arial" w:hAnsi="Arial"/>
          <w:b/>
          <w:color w:val="111111"/>
          <w:sz w:val="20"/>
        </w:rPr>
        <w:t>45%</w:t>
      </w:r>
      <w:r>
        <w:rPr>
          <w:rFonts w:ascii="Arial" w:hAnsi="Arial"/>
          <w:color w:val="333333"/>
          <w:sz w:val="20"/>
        </w:rPr>
        <w:t>.</w:t>
      </w:r>
    </w:p>
    <w:p>
      <w:pPr>
        <w:pStyle w:val="ListBullet"/>
        <w:spacing w:before="0" w:after="40"/>
        <w:ind w:left="288"/>
      </w:pPr>
      <w:r>
        <w:rPr>
          <w:rFonts w:ascii="Arial" w:hAnsi="Arial"/>
          <w:color w:val="333333"/>
          <w:sz w:val="20"/>
        </w:rPr>
        <w:t xml:space="preserve">Established event-driven communication between microservices with </w:t>
      </w:r>
      <w:r>
        <w:rPr>
          <w:rFonts w:ascii="Arial" w:hAnsi="Arial"/>
          <w:b/>
          <w:color w:val="111111"/>
          <w:sz w:val="20"/>
        </w:rPr>
        <w:t>Apache Kafka</w:t>
      </w:r>
      <w:r>
        <w:rPr>
          <w:rFonts w:ascii="Arial" w:hAnsi="Arial"/>
          <w:color w:val="333333"/>
          <w:sz w:val="20"/>
        </w:rPr>
        <w:t xml:space="preserve">, lifting asynchronous processing throughput by </w:t>
      </w:r>
      <w:r>
        <w:rPr>
          <w:rFonts w:ascii="Arial" w:hAnsi="Arial"/>
          <w:b/>
          <w:color w:val="111111"/>
          <w:sz w:val="20"/>
        </w:rPr>
        <w:t>35%</w:t>
      </w:r>
      <w:r>
        <w:rPr>
          <w:rFonts w:ascii="Arial" w:hAnsi="Arial"/>
          <w:color w:val="333333"/>
          <w:sz w:val="20"/>
        </w:rPr>
        <w:t>.</w:t>
      </w:r>
    </w:p>
    <w:p>
      <w:pPr>
        <w:keepNext/>
        <w:spacing w:before="0" w:after="60"/>
      </w:pPr>
      <w:r>
        <w:rPr>
          <w:rFonts w:ascii="Arial" w:hAnsi="Arial"/>
          <w:i/>
          <w:color w:val="555555"/>
          <w:sz w:val="19"/>
        </w:rPr>
        <w:t xml:space="preserve">   |   Real-Time Telemetry &amp; Geofencing Platform</w:t>
      </w:r>
    </w:p>
    <w:p>
      <w:pPr>
        <w:pStyle w:val="ListBullet"/>
        <w:spacing w:before="0" w:after="40"/>
        <w:ind w:left="288"/>
      </w:pPr>
      <w:r>
        <w:rPr>
          <w:rFonts w:ascii="Arial" w:hAnsi="Arial"/>
          <w:color w:val="333333"/>
          <w:sz w:val="20"/>
        </w:rPr>
        <w:t xml:space="preserve">Built a real-time workforce tracking platform on </w:t>
      </w:r>
      <w:r>
        <w:rPr>
          <w:rFonts w:ascii="Arial" w:hAnsi="Arial"/>
          <w:b/>
          <w:color w:val="111111"/>
          <w:sz w:val="20"/>
        </w:rPr>
        <w:t>Java</w:t>
      </w:r>
      <w:r>
        <w:rPr>
          <w:rFonts w:ascii="Arial" w:hAnsi="Arial"/>
          <w:color w:val="333333"/>
          <w:sz w:val="20"/>
        </w:rPr>
        <w:t xml:space="preserve">, </w:t>
      </w:r>
      <w:r>
        <w:rPr>
          <w:rFonts w:ascii="Arial" w:hAnsi="Arial"/>
          <w:b/>
          <w:color w:val="111111"/>
          <w:sz w:val="20"/>
        </w:rPr>
        <w:t>Spring Boot</w:t>
      </w:r>
      <w:r>
        <w:rPr>
          <w:rFonts w:ascii="Arial" w:hAnsi="Arial"/>
          <w:color w:val="333333"/>
          <w:sz w:val="20"/>
        </w:rPr>
        <w:t xml:space="preserve">, and </w:t>
      </w:r>
      <w:r>
        <w:rPr>
          <w:rFonts w:ascii="Arial" w:hAnsi="Arial"/>
          <w:b/>
          <w:color w:val="111111"/>
          <w:sz w:val="20"/>
        </w:rPr>
        <w:t>React.js</w:t>
      </w:r>
      <w:r>
        <w:rPr>
          <w:rFonts w:ascii="Arial" w:hAnsi="Arial"/>
          <w:color w:val="333333"/>
          <w:sz w:val="20"/>
        </w:rPr>
        <w:t xml:space="preserve">, serving </w:t>
      </w:r>
      <w:r>
        <w:rPr>
          <w:rFonts w:ascii="Arial" w:hAnsi="Arial"/>
          <w:b/>
          <w:color w:val="111111"/>
          <w:sz w:val="20"/>
        </w:rPr>
        <w:t>1,000+ active field agents</w:t>
      </w:r>
      <w:r>
        <w:rPr>
          <w:rFonts w:ascii="Arial" w:hAnsi="Arial"/>
          <w:color w:val="333333"/>
          <w:sz w:val="20"/>
        </w:rPr>
        <w:t>.</w:t>
      </w:r>
    </w:p>
    <w:p>
      <w:pPr>
        <w:pStyle w:val="ListBullet"/>
        <w:spacing w:before="0" w:after="40"/>
        <w:ind w:left="288"/>
      </w:pPr>
      <w:r>
        <w:rPr>
          <w:rFonts w:ascii="Arial" w:hAnsi="Arial"/>
          <w:color w:val="333333"/>
          <w:sz w:val="20"/>
        </w:rPr>
        <w:t xml:space="preserve">Delivered a responsive map-based dashboard in </w:t>
      </w:r>
      <w:r>
        <w:rPr>
          <w:rFonts w:ascii="Arial" w:hAnsi="Arial"/>
          <w:b/>
          <w:color w:val="111111"/>
          <w:sz w:val="20"/>
        </w:rPr>
        <w:t>React.js</w:t>
      </w:r>
      <w:r>
        <w:rPr>
          <w:rFonts w:ascii="Arial" w:hAnsi="Arial"/>
          <w:color w:val="333333"/>
          <w:sz w:val="20"/>
        </w:rPr>
        <w:t xml:space="preserve"> with </w:t>
      </w:r>
      <w:r>
        <w:rPr>
          <w:rFonts w:ascii="Arial" w:hAnsi="Arial"/>
          <w:b/>
          <w:color w:val="111111"/>
          <w:sz w:val="20"/>
        </w:rPr>
        <w:t>Ant Design</w:t>
      </w:r>
      <w:r>
        <w:rPr>
          <w:rFonts w:ascii="Arial" w:hAnsi="Arial"/>
          <w:color w:val="333333"/>
          <w:sz w:val="20"/>
        </w:rPr>
        <w:t xml:space="preserve">, streaming live coordinates from Spring Boot WebSocket endpoints and cutting dashboard latency by </w:t>
      </w:r>
      <w:r>
        <w:rPr>
          <w:rFonts w:ascii="Arial" w:hAnsi="Arial"/>
          <w:b/>
          <w:color w:val="111111"/>
          <w:sz w:val="20"/>
        </w:rPr>
        <w:t>30%</w:t>
      </w:r>
      <w:r>
        <w:rPr>
          <w:rFonts w:ascii="Arial" w:hAnsi="Arial"/>
          <w:color w:val="333333"/>
          <w:sz w:val="20"/>
        </w:rPr>
        <w:t>.</w:t>
      </w:r>
    </w:p>
    <w:p>
      <w:pPr>
        <w:pStyle w:val="ListBullet"/>
        <w:spacing w:before="0" w:after="40"/>
        <w:ind w:left="288"/>
      </w:pPr>
      <w:r>
        <w:rPr>
          <w:rFonts w:ascii="Arial" w:hAnsi="Arial"/>
          <w:color w:val="333333"/>
          <w:sz w:val="20"/>
        </w:rPr>
        <w:t xml:space="preserve">Secured the operations API with </w:t>
      </w:r>
      <w:r>
        <w:rPr>
          <w:rFonts w:ascii="Arial" w:hAnsi="Arial"/>
          <w:b/>
          <w:color w:val="111111"/>
          <w:sz w:val="20"/>
        </w:rPr>
        <w:t>Spring Security</w:t>
      </w:r>
      <w:r>
        <w:rPr>
          <w:rFonts w:ascii="Arial" w:hAnsi="Arial"/>
          <w:color w:val="333333"/>
          <w:sz w:val="20"/>
        </w:rPr>
        <w:t xml:space="preserve"> and </w:t>
      </w:r>
      <w:r>
        <w:rPr>
          <w:rFonts w:ascii="Arial" w:hAnsi="Arial"/>
          <w:b/>
          <w:color w:val="111111"/>
          <w:sz w:val="20"/>
        </w:rPr>
        <w:t>JWT</w:t>
      </w:r>
      <w:r>
        <w:rPr>
          <w:rFonts w:ascii="Arial" w:hAnsi="Arial"/>
          <w:color w:val="333333"/>
          <w:sz w:val="20"/>
        </w:rPr>
        <w:t xml:space="preserve">, enforcing Admin, Supervisor, and Employee role boundaries across </w:t>
      </w:r>
      <w:r>
        <w:rPr>
          <w:rFonts w:ascii="Arial" w:hAnsi="Arial"/>
          <w:b/>
          <w:color w:val="111111"/>
          <w:sz w:val="20"/>
        </w:rPr>
        <w:t>100+ client accounts</w:t>
      </w:r>
      <w:r>
        <w:rPr>
          <w:rFonts w:ascii="Arial" w:hAnsi="Arial"/>
          <w:color w:val="333333"/>
          <w:sz w:val="20"/>
        </w:rPr>
        <w:t>.</w:t>
      </w:r>
    </w:p>
    <w:p>
      <w:pPr>
        <w:keepNext/>
        <w:spacing w:before="240" w:after="80"/>
        <w:pBdr>
          <w:bottom w:val="single" w:sz="8" w:space="4" w:color="0056B3"/>
        </w:pBdr>
      </w:pPr>
      <w:r>
        <w:rPr>
          <w:rFonts w:ascii="Arial" w:hAnsi="Arial"/>
          <w:b/>
          <w:color w:val="0056B3"/>
          <w:sz w:val="23"/>
        </w:rPr>
        <w:t>SELECTED PROJECTS</w:t>
      </w:r>
    </w:p>
    <w:p>
      <w:pPr>
        <w:keepNext/>
        <w:spacing w:before="240" w:after="80"/>
        <w:pBdr>
          <w:bottom w:val="single" w:sz="8" w:space="4" w:color="0056B3"/>
        </w:pBdr>
      </w:pPr>
      <w:r>
        <w:rPr>
          <w:rFonts w:ascii="Arial" w:hAnsi="Arial"/>
          <w:b/>
          <w:color w:val="0056B3"/>
          <w:sz w:val="23"/>
        </w:rPr>
        <w:t>EDUCATION</w:t>
      </w:r>
    </w:p>
    <w:p>
      <w:pPr>
        <w:spacing w:before="80" w:after="80"/>
        <w:pBdr>
          <w:bottom w:val="single" w:sz="4" w:space="4" w:color="0056B3"/>
        </w:pBdr>
      </w:pPr>
      <w:r>
        <w:rPr>
          <w:rFonts w:ascii="Arial" w:hAnsi="Arial"/>
          <w:b/>
          <w:color w:val="1A1A1A"/>
          <w:sz w:val="20"/>
        </w:rPr>
        <w:t>Bachelor of Technology (B.Tech.) | Kanpur Institute of Technology, Kanpur, UP   |   2019 - 2023</w:t>
      </w:r>
    </w:p>
    <w:tbl>
      <w:tblPr>
        <w:tblW w:type="auto" w:w="0"/>
        <w:tblLayout w:type="fixed"/>
        <w:tblLook w:firstColumn="1" w:firstRow="1" w:lastColumn="0" w:lastRow="0" w:noHBand="0" w:noVBand="1" w:val="04A0"/>
      </w:tblPr>
      <w:tblGrid>
        <w:gridCol w:w="5400"/>
        <w:gridCol w:w="5400"/>
      </w:tblGrid>
      <w:tr>
        <w:tc>
          <w:tcPr>
            <w:tcW w:type="dxa" w:w="5400"/>
          </w:tcPr>
          <w:p>
            <w:pPr>
              <w:spacing w:before="160" w:after="80"/>
              <w:pBdr>
                <w:bottom w:val="single" w:sz="6" w:space="4" w:color="0056B3"/>
              </w:pBdr>
            </w:pPr>
            <w:r>
              <w:rPr>
                <w:rFonts w:ascii="Arial" w:hAnsi="Arial"/>
                <w:b/>
                <w:color w:val="0056B3"/>
                <w:sz w:val="22"/>
              </w:rPr>
              <w:t>CERTIFICATIONS</w:t>
            </w:r>
          </w:p>
          <w:p>
            <w:pPr>
              <w:spacing w:before="0" w:after="40"/>
            </w:pPr>
            <w:r>
              <w:rPr>
                <w:rFonts w:ascii="Arial" w:hAnsi="Arial"/>
                <w:color w:val="333333"/>
                <w:sz w:val="19"/>
              </w:rPr>
              <w:t>Database Systems &amp; SQL Certification</w:t>
              <w:br/>
              <w:t xml:space="preserve">                        Data Structures &amp; Algorithms Certification</w:t>
              <w:br/>
              <w:t xml:space="preserve">                        IIT Kanpur Cyber Security Certification</w:t>
              <w:br/>
              <w:t xml:space="preserve">                        Advanced MERN Stack Developer Certification</w:t>
            </w:r>
          </w:p>
        </w:tc>
        <w:tc>
          <w:tcPr>
            <w:tcW w:type="dxa" w:w="5400"/>
          </w:tcPr>
          <w:p>
            <w:pPr>
              <w:spacing w:before="160" w:after="80"/>
              <w:pBdr>
                <w:bottom w:val="single" w:sz="6" w:space="4" w:color="0056B3"/>
              </w:pBdr>
            </w:pPr>
            <w:r>
              <w:rPr>
                <w:rFonts w:ascii="Arial" w:hAnsi="Arial"/>
                <w:b/>
                <w:color w:val="0056B3"/>
                <w:sz w:val="22"/>
              </w:rPr>
              <w:t>ACHIEVEMENTS</w:t>
            </w:r>
          </w:p>
          <w:p>
            <w:pPr>
              <w:pStyle w:val="ListBullet"/>
              <w:spacing w:before="0" w:after="40"/>
              <w:ind w:left="288"/>
            </w:pPr>
            <w:r>
              <w:rPr>
                <w:rFonts w:ascii="Arial" w:hAnsi="Arial"/>
                <w:color w:val="333333"/>
                <w:sz w:val="19"/>
              </w:rPr>
              <w:t>Graduated with First Class Honors, maintaining top academic rank.</w:t>
            </w:r>
          </w:p>
          <w:p>
            <w:pPr>
              <w:pStyle w:val="ListBullet"/>
              <w:spacing w:before="0" w:after="40"/>
              <w:ind w:left="288"/>
            </w:pPr>
            <w:r>
              <w:rPr>
                <w:rFonts w:ascii="Arial" w:hAnsi="Arial"/>
                <w:color w:val="333333"/>
                <w:sz w:val="19"/>
              </w:rPr>
              <w:t>Earned a 4-Star Gold Badge in SQL on HackerRank.</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