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| Microservices · Distributed Systems · Full Stack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transaction-critical endpoints for AEPS, MATM, and UPI platforms,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across payment rails.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platform APIs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authentication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adding device binding and OTP controls to close off unauthorized access paths.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tuned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schemas using sharding, partitioning, and query optimization, cutting read/write latency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lifting message processing throughput by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Instrumented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and automated container delivery through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Led hiring and onboarding for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, lifting team onboarding efficiency by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real-time workforce telemetry platform with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 and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asynchronous location ingestion pipeline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at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Ant Design,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MATM, and UPI settlement with a transactional wallet ledger, retry and reconciliation handling,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on React,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&amp;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Workforce geolocation engine ingesting asynchronous GPS streams, rendering live map visualizations, and pushing geofence alerts over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auth service providing registration, password hashing, JWT issuance and rotation, and RBAC enforcement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Spring Security / JWT / MySQL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building secure, high-scale distributed systems for national e-governance and FinTech platforms. Designs microservice architectures, transaction-critical APIs, and event-driven pipelines serving 2 million+ users and 500,000+ daily transactions. Polyglot across Java/Spring Boot, Python/FastAPI, and Node.js, with strong system design, database engineering, and observability practice. Led hiring and onboarding for a four-engineer team while standardizing Docker-based CI/CD delivery.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Architecture: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microservices, REST APIs,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Celery, Hibernate/JPA, indexing &amp;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Observability: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Linux, Postman, Jira,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