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A1A1A"/>
          <w:sz w:val="40"/>
        </w:rPr>
        <w:t>Akhilesh Kumar Mishra</w:t>
      </w:r>
    </w:p>
    <w:p>
      <w:pPr>
        <w:spacing w:before="0" w:after="80"/>
      </w:pPr>
      <w:r>
        <w:rPr>
          <w:rFonts w:ascii="Arial" w:hAnsi="Arial"/>
          <w:b/>
          <w:color w:val="007BB6"/>
          <w:sz w:val="22"/>
        </w:rPr>
        <w:t>Java Full Stack Developer | Spring Boot · Microservices · REST APIs</w:t>
      </w:r>
    </w:p>
    <w:p>
      <w:pPr>
        <w:spacing w:before="0" w:after="160"/>
        <w:jc w:val="left"/>
        <w:pBdr>
          <w:bottom w:val="single" w:sz="8" w:space="4" w:color="1A1A1A"/>
        </w:pBdr>
      </w:pPr>
      <w:r>
        <w:rPr>
          <w:rFonts w:ascii="Arial" w:hAnsi="Arial"/>
          <w:color w:val="2D3748"/>
          <w:sz w:val="17"/>
        </w:rPr>
        <w:t>+91 88580 45785</w:t>
      </w:r>
      <w:r>
        <w:t xml:space="preserve">   |   </w:t>
      </w:r>
      <w:r>
        <w:rPr>
          <w:rFonts w:ascii="Arial" w:hAnsi="Arial"/>
          <w:color w:val="2D3748"/>
          <w:sz w:val="17"/>
        </w:rPr>
        <w:t>makhileshkumar1@gmail.com</w:t>
      </w:r>
      <w:r>
        <w:t xml:space="preserve">   |   </w:t>
      </w:r>
      <w:r>
        <w:rPr>
          <w:rFonts w:ascii="Arial" w:hAnsi="Arial"/>
          <w:color w:val="2D3748"/>
          <w:sz w:val="17"/>
        </w:rPr>
        <w:t>linkedin.com/in/akhilesh-kumar-mishra</w:t>
      </w:r>
      <w:r>
        <w:t xml:space="preserve">   |   </w:t>
      </w:r>
      <w:r>
        <w:rPr>
          <w:rFonts w:ascii="Arial" w:hAnsi="Arial"/>
          <w:color w:val="2D3748"/>
          <w:sz w:val="17"/>
        </w:rPr>
        <w:t>github.com/GitHub-akhilesh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488"/>
            <w:tcMar>
              <w:top w:w="240" w:type="dxa"/>
              <w:bottom w:w="240" w:type="dxa"/>
              <w:left w:w="240" w:type="dxa"/>
              <w:right w:w="240" w:type="dxa"/>
            </w:tcMar>
          </w:tcPr>
          <w:p>
            <w:pPr>
              <w:spacing w:before="240" w:after="80"/>
              <w:pBdr>
                <w:bottom w:val="single" w:sz="6" w:space="4" w:color="007BB6"/>
              </w:pBdr>
            </w:pPr>
            <w:r>
              <w:rPr>
                <w:rFonts w:ascii="Arial" w:hAnsi="Arial"/>
                <w:b/>
                <w:color w:val="007BB6"/>
                <w:sz w:val="22"/>
              </w:rPr>
              <w:t>EXPERIENCE</w:t>
            </w:r>
          </w:p>
          <w:p>
            <w:pPr>
              <w:spacing w:before="80" w:after="20"/>
            </w:pPr>
            <w:r>
              <w:rPr>
                <w:rFonts w:ascii="Arial" w:hAnsi="Arial"/>
                <w:b/>
                <w:color w:val="0F172A"/>
                <w:sz w:val="21"/>
              </w:rPr>
              <w:t>Software Development Engineer</w:t>
            </w:r>
            <w:r>
              <w:t xml:space="preserve"> - </w:t>
            </w:r>
            <w:r>
              <w:rPr>
                <w:rFonts w:ascii="Arial" w:hAnsi="Arial"/>
                <w:b/>
                <w:color w:val="475569"/>
                <w:sz w:val="20"/>
              </w:rPr>
              <w:t>CSC e-Governance Services India Ltd. — India's national digital services platform, 2M+ users</w:t>
            </w:r>
          </w:p>
          <w:p>
            <w:pPr>
              <w:spacing w:before="0" w:after="20"/>
            </w:pPr>
            <w:r>
              <w:rPr>
                <w:rFonts w:ascii="Arial" w:hAnsi="Arial"/>
                <w:i/>
                <w:color w:val="64748B"/>
                <w:sz w:val="17"/>
              </w:rPr>
              <w:t>Ministry of Electronics &amp; Information Technology, Govt. of India</w:t>
            </w:r>
          </w:p>
          <w:p>
            <w:pPr>
              <w:spacing w:before="0" w:after="60"/>
            </w:pPr>
            <w:r>
              <w:rPr>
                <w:rFonts w:ascii="Arial" w:hAnsi="Arial"/>
                <w:color w:val="64748B"/>
                <w:sz w:val="17"/>
              </w:rPr>
              <w:t>12/2023 – PRESENT | New Delhi, India</w:t>
            </w:r>
          </w:p>
          <w:p>
            <w:pPr>
              <w:pStyle w:val="ListBullet"/>
              <w:spacing w:before="0" w:after="20"/>
              <w:ind w:left="216"/>
            </w:pPr>
            <w:r>
              <w:rPr>
                <w:rFonts w:ascii="Arial" w:hAnsi="Arial"/>
                <w:color w:val="334155"/>
                <w:sz w:val="19"/>
              </w:rPr>
              <w:t xml:space="preserve">Held AEPS, MATM and VATM orchestration at a </w:t>
            </w:r>
            <w:r>
              <w:rPr>
                <w:rFonts w:ascii="Arial" w:hAnsi="Arial"/>
                <w:b/>
                <w:color w:val="334155"/>
                <w:sz w:val="19"/>
              </w:rPr>
              <w:t>99% success rate</w:t>
            </w:r>
            <w:r>
              <w:rPr>
                <w:rFonts w:ascii="Arial" w:hAnsi="Arial"/>
                <w:color w:val="334155"/>
                <w:sz w:val="19"/>
              </w:rPr>
              <w:t xml:space="preserve"> across </w:t>
            </w:r>
            <w:r>
              <w:rPr>
                <w:rFonts w:ascii="Arial" w:hAnsi="Arial"/>
                <w:b/>
                <w:color w:val="334155"/>
                <w:sz w:val="19"/>
              </w:rPr>
              <w:t>500,000+ daily transactions</w:t>
            </w:r>
            <w:r>
              <w:rPr>
                <w:rFonts w:ascii="Arial" w:hAnsi="Arial"/>
                <w:color w:val="334155"/>
                <w:sz w:val="19"/>
              </w:rPr>
              <w:t xml:space="preserve">, by making the </w:t>
            </w:r>
            <w:r>
              <w:rPr>
                <w:rFonts w:ascii="Arial" w:hAnsi="Arial"/>
                <w:b/>
                <w:color w:val="334155"/>
                <w:sz w:val="19"/>
              </w:rPr>
              <w:t>Spring Boot</w:t>
            </w:r>
            <w:r>
              <w:rPr>
                <w:rFonts w:ascii="Arial" w:hAnsi="Arial"/>
                <w:color w:val="334155"/>
                <w:sz w:val="19"/>
              </w:rPr>
              <w:t xml:space="preserve"> payment path idempotent with request keys, backoff retries and automated end-of-day reconciliation.</w:t>
            </w:r>
          </w:p>
          <w:p>
            <w:pPr>
              <w:pStyle w:val="ListBullet"/>
              <w:spacing w:before="0" w:after="20"/>
              <w:ind w:left="216"/>
            </w:pPr>
            <w:r>
              <w:rPr>
                <w:rFonts w:ascii="Arial" w:hAnsi="Arial"/>
                <w:color w:val="334155"/>
                <w:sz w:val="19"/>
              </w:rPr>
              <w:t xml:space="preserve">Settled over </w:t>
            </w:r>
            <w:r>
              <w:rPr>
                <w:rFonts w:ascii="Arial" w:hAnsi="Arial"/>
                <w:b/>
                <w:color w:val="334155"/>
                <w:sz w:val="19"/>
              </w:rPr>
              <w:t>10 billion INR</w:t>
            </w:r>
            <w:r>
              <w:rPr>
                <w:rFonts w:ascii="Arial" w:hAnsi="Arial"/>
                <w:color w:val="334155"/>
                <w:sz w:val="19"/>
              </w:rPr>
              <w:t xml:space="preserve"> a day with balances that reconcile, by building the wallet and ledger services on </w:t>
            </w:r>
            <w:r>
              <w:rPr>
                <w:rFonts w:ascii="Arial" w:hAnsi="Arial"/>
                <w:b/>
                <w:color w:val="334155"/>
                <w:sz w:val="19"/>
              </w:rPr>
              <w:t>Spring Data JPA</w:t>
            </w:r>
            <w:r>
              <w:rPr>
                <w:rFonts w:ascii="Arial" w:hAnsi="Arial"/>
                <w:color w:val="334155"/>
                <w:sz w:val="19"/>
              </w:rPr>
              <w:t xml:space="preserve"> and </w:t>
            </w:r>
            <w:r>
              <w:rPr>
                <w:rFonts w:ascii="Arial" w:hAnsi="Arial"/>
                <w:b/>
                <w:color w:val="334155"/>
                <w:sz w:val="19"/>
              </w:rPr>
              <w:t>Hibernate</w:t>
            </w:r>
            <w:r>
              <w:rPr>
                <w:rFonts w:ascii="Arial" w:hAnsi="Arial"/>
                <w:color w:val="334155"/>
                <w:sz w:val="19"/>
              </w:rPr>
              <w:t xml:space="preserve"> with explicit transaction boundaries and optimistic locking.</w:t>
            </w:r>
          </w:p>
          <w:p>
            <w:pPr>
              <w:pStyle w:val="ListBullet"/>
              <w:spacing w:before="0" w:after="20"/>
              <w:ind w:left="216"/>
            </w:pPr>
            <w:r>
              <w:rPr>
                <w:rFonts w:ascii="Arial" w:hAnsi="Arial"/>
                <w:color w:val="334155"/>
                <w:sz w:val="19"/>
              </w:rPr>
              <w:t xml:space="preserve">Cut p95 read/write latency </w:t>
            </w:r>
            <w:r>
              <w:rPr>
                <w:rFonts w:ascii="Arial" w:hAnsi="Arial"/>
                <w:b/>
                <w:color w:val="334155"/>
                <w:sz w:val="19"/>
              </w:rPr>
              <w:t>45%</w:t>
            </w:r>
            <w:r>
              <w:rPr>
                <w:rFonts w:ascii="Arial" w:hAnsi="Arial"/>
                <w:color w:val="334155"/>
                <w:sz w:val="19"/>
              </w:rPr>
              <w:t xml:space="preserve"> across </w:t>
            </w:r>
            <w:r>
              <w:rPr>
                <w:rFonts w:ascii="Arial" w:hAnsi="Arial"/>
                <w:b/>
                <w:color w:val="334155"/>
                <w:sz w:val="19"/>
              </w:rPr>
              <w:t>MySQL</w:t>
            </w:r>
            <w:r>
              <w:rPr>
                <w:rFonts w:ascii="Arial" w:hAnsi="Arial"/>
                <w:color w:val="334155"/>
                <w:sz w:val="19"/>
              </w:rPr>
              <w:t xml:space="preserve"> and </w:t>
            </w:r>
            <w:r>
              <w:rPr>
                <w:rFonts w:ascii="Arial" w:hAnsi="Arial"/>
                <w:b/>
                <w:color w:val="334155"/>
                <w:sz w:val="19"/>
              </w:rPr>
              <w:t>PostgreSQL</w:t>
            </w:r>
            <w:r>
              <w:rPr>
                <w:rFonts w:ascii="Arial" w:hAnsi="Arial"/>
                <w:color w:val="334155"/>
                <w:sz w:val="19"/>
              </w:rPr>
              <w:t xml:space="preserve">, by adding covering indexes, tuning the JPA fetch strategy to kill N+1 queries and caching hot lookups in </w:t>
            </w:r>
            <w:r>
              <w:rPr>
                <w:rFonts w:ascii="Arial" w:hAnsi="Arial"/>
                <w:b/>
                <w:color w:val="334155"/>
                <w:sz w:val="19"/>
              </w:rPr>
              <w:t>Redis</w:t>
            </w:r>
            <w:r>
              <w:rPr>
                <w:rFonts w:ascii="Arial" w:hAnsi="Arial"/>
                <w:color w:val="334155"/>
                <w:sz w:val="19"/>
              </w:rPr>
              <w:t>.</w:t>
            </w:r>
          </w:p>
          <w:p>
            <w:pPr>
              <w:pStyle w:val="ListBullet"/>
              <w:spacing w:before="0" w:after="20"/>
              <w:ind w:left="216"/>
            </w:pPr>
            <w:r>
              <w:rPr>
                <w:rFonts w:ascii="Arial" w:hAnsi="Arial"/>
                <w:color w:val="334155"/>
                <w:sz w:val="19"/>
              </w:rPr>
              <w:t xml:space="preserve">Contained a bad release to one service instead of the whole portal for </w:t>
            </w:r>
            <w:r>
              <w:rPr>
                <w:rFonts w:ascii="Arial" w:hAnsi="Arial"/>
                <w:b/>
                <w:color w:val="334155"/>
                <w:sz w:val="19"/>
              </w:rPr>
              <w:t>2 million+ users</w:t>
            </w:r>
            <w:r>
              <w:rPr>
                <w:rFonts w:ascii="Arial" w:hAnsi="Arial"/>
                <w:color w:val="334155"/>
                <w:sz w:val="19"/>
              </w:rPr>
              <w:t xml:space="preserve">, by splitting monolithic e-governance systems into </w:t>
            </w:r>
            <w:r>
              <w:rPr>
                <w:rFonts w:ascii="Arial" w:hAnsi="Arial"/>
                <w:b/>
                <w:color w:val="334155"/>
                <w:sz w:val="19"/>
              </w:rPr>
              <w:t>Spring Boot</w:t>
            </w:r>
            <w:r>
              <w:rPr>
                <w:rFonts w:ascii="Arial" w:hAnsi="Arial"/>
                <w:color w:val="334155"/>
                <w:sz w:val="19"/>
              </w:rPr>
              <w:t xml:space="preserve"> microservices behind a versioned REST gateway.</w:t>
            </w:r>
          </w:p>
          <w:p>
            <w:pPr>
              <w:pStyle w:val="ListBullet"/>
              <w:spacing w:before="0" w:after="20"/>
              <w:ind w:left="216"/>
            </w:pPr>
            <w:r>
              <w:rPr>
                <w:rFonts w:ascii="Arial" w:hAnsi="Arial"/>
                <w:color w:val="334155"/>
                <w:sz w:val="19"/>
              </w:rPr>
              <w:t xml:space="preserve">Blocked </w:t>
            </w:r>
            <w:r>
              <w:rPr>
                <w:rFonts w:ascii="Arial" w:hAnsi="Arial"/>
                <w:b/>
                <w:color w:val="334155"/>
                <w:sz w:val="19"/>
              </w:rPr>
              <w:t>99.9%</w:t>
            </w:r>
            <w:r>
              <w:rPr>
                <w:rFonts w:ascii="Arial" w:hAnsi="Arial"/>
                <w:color w:val="334155"/>
                <w:sz w:val="19"/>
              </w:rPr>
              <w:t xml:space="preserve"> of unauthorized access attempts, by adding </w:t>
            </w:r>
            <w:r>
              <w:rPr>
                <w:rFonts w:ascii="Arial" w:hAnsi="Arial"/>
                <w:b/>
                <w:color w:val="334155"/>
                <w:sz w:val="19"/>
              </w:rPr>
              <w:t>Spring Security</w:t>
            </w:r>
            <w:r>
              <w:rPr>
                <w:rFonts w:ascii="Arial" w:hAnsi="Arial"/>
                <w:color w:val="334155"/>
                <w:sz w:val="19"/>
              </w:rPr>
              <w:t xml:space="preserve"> with </w:t>
            </w:r>
            <w:r>
              <w:rPr>
                <w:rFonts w:ascii="Arial" w:hAnsi="Arial"/>
                <w:b/>
                <w:color w:val="334155"/>
                <w:sz w:val="19"/>
              </w:rPr>
              <w:t>JWT</w:t>
            </w:r>
            <w:r>
              <w:rPr>
                <w:rFonts w:ascii="Arial" w:hAnsi="Arial"/>
                <w:color w:val="334155"/>
                <w:sz w:val="19"/>
              </w:rPr>
              <w:t xml:space="preserve">, method-level </w:t>
            </w:r>
            <w:r>
              <w:rPr>
                <w:rFonts w:ascii="Arial" w:hAnsi="Arial"/>
                <w:b/>
                <w:color w:val="334155"/>
                <w:sz w:val="19"/>
              </w:rPr>
              <w:t>RBAC</w:t>
            </w:r>
            <w:r>
              <w:rPr>
                <w:rFonts w:ascii="Arial" w:hAnsi="Arial"/>
                <w:color w:val="334155"/>
                <w:sz w:val="19"/>
              </w:rPr>
              <w:t>, device binding and OTP retry limits.</w:t>
            </w:r>
          </w:p>
          <w:p>
            <w:pPr>
              <w:pStyle w:val="ListBullet"/>
              <w:spacing w:before="0" w:after="20"/>
              <w:ind w:left="216"/>
            </w:pPr>
            <w:r>
              <w:rPr>
                <w:rFonts w:ascii="Arial" w:hAnsi="Arial"/>
                <w:color w:val="334155"/>
                <w:sz w:val="19"/>
              </w:rPr>
              <w:t xml:space="preserve">Lifted async throughput </w:t>
            </w:r>
            <w:r>
              <w:rPr>
                <w:rFonts w:ascii="Arial" w:hAnsi="Arial"/>
                <w:b/>
                <w:color w:val="334155"/>
                <w:sz w:val="19"/>
              </w:rPr>
              <w:t>35%</w:t>
            </w:r>
            <w:r>
              <w:rPr>
                <w:rFonts w:ascii="Arial" w:hAnsi="Arial"/>
                <w:color w:val="334155"/>
                <w:sz w:val="19"/>
              </w:rPr>
              <w:t xml:space="preserve">, by moving inter-service calls onto </w:t>
            </w:r>
            <w:r>
              <w:rPr>
                <w:rFonts w:ascii="Arial" w:hAnsi="Arial"/>
                <w:b/>
                <w:color w:val="334155"/>
                <w:sz w:val="19"/>
              </w:rPr>
              <w:t>Apache Kafka</w:t>
            </w:r>
            <w:r>
              <w:rPr>
                <w:rFonts w:ascii="Arial" w:hAnsi="Arial"/>
                <w:color w:val="334155"/>
                <w:sz w:val="19"/>
              </w:rPr>
              <w:t xml:space="preserve"> with dead-letter topics, and surfacing consumer lag in </w:t>
            </w:r>
            <w:r>
              <w:rPr>
                <w:rFonts w:ascii="Arial" w:hAnsi="Arial"/>
                <w:b/>
                <w:color w:val="334155"/>
                <w:sz w:val="19"/>
              </w:rPr>
              <w:t>Prometheus</w:t>
            </w:r>
            <w:r>
              <w:rPr>
                <w:rFonts w:ascii="Arial" w:hAnsi="Arial"/>
                <w:color w:val="334155"/>
                <w:sz w:val="19"/>
              </w:rPr>
              <w:t xml:space="preserve"> and </w:t>
            </w:r>
            <w:r>
              <w:rPr>
                <w:rFonts w:ascii="Arial" w:hAnsi="Arial"/>
                <w:b/>
                <w:color w:val="334155"/>
                <w:sz w:val="19"/>
              </w:rPr>
              <w:t>Grafana</w:t>
            </w:r>
            <w:r>
              <w:rPr>
                <w:rFonts w:ascii="Arial" w:hAnsi="Arial"/>
                <w:color w:val="334155"/>
                <w:sz w:val="19"/>
              </w:rPr>
              <w:t>.</w:t>
            </w:r>
          </w:p>
          <w:p>
            <w:pPr>
              <w:spacing w:before="80" w:after="20"/>
            </w:pPr>
            <w:r>
              <w:rPr>
                <w:rFonts w:ascii="Arial" w:hAnsi="Arial"/>
                <w:b/>
                <w:color w:val="0F172A"/>
                <w:sz w:val="21"/>
              </w:rPr>
              <w:t>Software Engineer</w:t>
            </w:r>
            <w:r>
              <w:t xml:space="preserve"> - </w:t>
            </w:r>
            <w:r>
              <w:rPr>
                <w:rFonts w:ascii="Arial" w:hAnsi="Arial"/>
                <w:b/>
                <w:color w:val="475569"/>
                <w:sz w:val="20"/>
              </w:rPr>
              <w:t>Contract engagement — field-workforce logistics, 1,000+ agents</w:t>
            </w:r>
          </w:p>
          <w:p>
            <w:pPr>
              <w:spacing w:before="0" w:after="20"/>
            </w:pPr>
            <w:r>
              <w:rPr>
                <w:rFonts w:ascii="Arial" w:hAnsi="Arial"/>
                <w:i/>
                <w:color w:val="64748B"/>
                <w:sz w:val="17"/>
              </w:rPr>
              <w:t>Real-Time Telemetry &amp; Geofencing Platform</w:t>
            </w:r>
          </w:p>
          <w:p>
            <w:pPr>
              <w:spacing w:before="0" w:after="60"/>
            </w:pPr>
            <w:r>
              <w:rPr>
                <w:rFonts w:ascii="Arial" w:hAnsi="Arial"/>
                <w:color w:val="64748B"/>
                <w:sz w:val="17"/>
              </w:rPr>
              <w:t>06/2023 – 11/2023 | Remote, India</w:t>
            </w:r>
          </w:p>
          <w:p>
            <w:pPr>
              <w:pStyle w:val="ListBullet"/>
              <w:spacing w:before="0" w:after="20"/>
              <w:ind w:left="216"/>
            </w:pPr>
            <w:r>
              <w:rPr>
                <w:rFonts w:ascii="Arial" w:hAnsi="Arial"/>
                <w:color w:val="334155"/>
                <w:sz w:val="19"/>
              </w:rPr>
              <w:t xml:space="preserve">Shipped a workforce tracking platform for </w:t>
            </w:r>
            <w:r>
              <w:rPr>
                <w:rFonts w:ascii="Arial" w:hAnsi="Arial"/>
                <w:b/>
                <w:color w:val="334155"/>
                <w:sz w:val="19"/>
              </w:rPr>
              <w:t>1,000+ field agents</w:t>
            </w:r>
            <w:r>
              <w:rPr>
                <w:rFonts w:ascii="Arial" w:hAnsi="Arial"/>
                <w:color w:val="334155"/>
                <w:sz w:val="19"/>
              </w:rPr>
              <w:t xml:space="preserve"> end to end on </w:t>
            </w:r>
            <w:r>
              <w:rPr>
                <w:rFonts w:ascii="Arial" w:hAnsi="Arial"/>
                <w:b/>
                <w:color w:val="334155"/>
                <w:sz w:val="19"/>
              </w:rPr>
              <w:t>Java</w:t>
            </w:r>
            <w:r>
              <w:rPr>
                <w:rFonts w:ascii="Arial" w:hAnsi="Arial"/>
                <w:color w:val="334155"/>
                <w:sz w:val="19"/>
              </w:rPr>
              <w:t xml:space="preserve">, </w:t>
            </w:r>
            <w:r>
              <w:rPr>
                <w:rFonts w:ascii="Arial" w:hAnsi="Arial"/>
                <w:b/>
                <w:color w:val="334155"/>
                <w:sz w:val="19"/>
              </w:rPr>
              <w:t>Spring Boot</w:t>
            </w:r>
            <w:r>
              <w:rPr>
                <w:rFonts w:ascii="Arial" w:hAnsi="Arial"/>
                <w:color w:val="334155"/>
                <w:sz w:val="19"/>
              </w:rPr>
              <w:t xml:space="preserve"> and </w:t>
            </w:r>
            <w:r>
              <w:rPr>
                <w:rFonts w:ascii="Arial" w:hAnsi="Arial"/>
                <w:b/>
                <w:color w:val="334155"/>
                <w:sz w:val="19"/>
              </w:rPr>
              <w:t>React.js</w:t>
            </w:r>
            <w:r>
              <w:rPr>
                <w:rFonts w:ascii="Arial" w:hAnsi="Arial"/>
                <w:color w:val="334155"/>
                <w:sz w:val="19"/>
              </w:rPr>
              <w:t xml:space="preserve"> — schema design through AWS deployment.</w:t>
            </w:r>
          </w:p>
          <w:p>
            <w:pPr>
              <w:pStyle w:val="ListBullet"/>
              <w:spacing w:before="0" w:after="20"/>
              <w:ind w:left="216"/>
            </w:pPr>
            <w:r>
              <w:rPr>
                <w:rFonts w:ascii="Arial" w:hAnsi="Arial"/>
                <w:color w:val="334155"/>
                <w:sz w:val="19"/>
              </w:rPr>
              <w:t xml:space="preserve">Brought dashboard load time down </w:t>
            </w:r>
            <w:r>
              <w:rPr>
                <w:rFonts w:ascii="Arial" w:hAnsi="Arial"/>
                <w:b/>
                <w:color w:val="334155"/>
                <w:sz w:val="19"/>
              </w:rPr>
              <w:t>30%</w:t>
            </w:r>
            <w:r>
              <w:rPr>
                <w:rFonts w:ascii="Arial" w:hAnsi="Arial"/>
                <w:color w:val="334155"/>
                <w:sz w:val="19"/>
              </w:rPr>
              <w:t xml:space="preserve">, by streaming live coordinates from Spring Boot </w:t>
            </w:r>
            <w:r>
              <w:rPr>
                <w:rFonts w:ascii="Arial" w:hAnsi="Arial"/>
                <w:b/>
                <w:color w:val="334155"/>
                <w:sz w:val="19"/>
              </w:rPr>
              <w:t>WebSocket</w:t>
            </w:r>
            <w:r>
              <w:rPr>
                <w:rFonts w:ascii="Arial" w:hAnsi="Arial"/>
                <w:color w:val="334155"/>
                <w:sz w:val="19"/>
              </w:rPr>
              <w:t xml:space="preserve"> endpoints into a </w:t>
            </w:r>
            <w:r>
              <w:rPr>
                <w:rFonts w:ascii="Arial" w:hAnsi="Arial"/>
                <w:b/>
                <w:color w:val="334155"/>
                <w:sz w:val="19"/>
              </w:rPr>
              <w:t>React.js</w:t>
            </w:r>
            <w:r>
              <w:rPr>
                <w:rFonts w:ascii="Arial" w:hAnsi="Arial"/>
                <w:color w:val="334155"/>
                <w:sz w:val="19"/>
              </w:rPr>
              <w:t xml:space="preserve"> and </w:t>
            </w:r>
            <w:r>
              <w:rPr>
                <w:rFonts w:ascii="Arial" w:hAnsi="Arial"/>
                <w:b/>
                <w:color w:val="334155"/>
                <w:sz w:val="19"/>
              </w:rPr>
              <w:t>Ant Design</w:t>
            </w:r>
            <w:r>
              <w:rPr>
                <w:rFonts w:ascii="Arial" w:hAnsi="Arial"/>
                <w:color w:val="334155"/>
                <w:sz w:val="19"/>
              </w:rPr>
              <w:t xml:space="preserve"> map view instead of polling.</w:t>
            </w:r>
          </w:p>
          <w:p>
            <w:pPr>
              <w:pStyle w:val="ListBullet"/>
              <w:spacing w:before="0" w:after="20"/>
              <w:ind w:left="216"/>
            </w:pPr>
            <w:r>
              <w:rPr>
                <w:rFonts w:ascii="Arial" w:hAnsi="Arial"/>
                <w:color w:val="334155"/>
                <w:sz w:val="19"/>
              </w:rPr>
              <w:t xml:space="preserve">Enforced Admin, Supervisor and Employee boundaries across </w:t>
            </w:r>
            <w:r>
              <w:rPr>
                <w:rFonts w:ascii="Arial" w:hAnsi="Arial"/>
                <w:b/>
                <w:color w:val="334155"/>
                <w:sz w:val="19"/>
              </w:rPr>
              <w:t>100+ client accounts</w:t>
            </w:r>
            <w:r>
              <w:rPr>
                <w:rFonts w:ascii="Arial" w:hAnsi="Arial"/>
                <w:color w:val="334155"/>
                <w:sz w:val="19"/>
              </w:rPr>
              <w:t xml:space="preserve">, by adding </w:t>
            </w:r>
            <w:r>
              <w:rPr>
                <w:rFonts w:ascii="Arial" w:hAnsi="Arial"/>
                <w:b/>
                <w:color w:val="334155"/>
                <w:sz w:val="19"/>
              </w:rPr>
              <w:t>Spring Security</w:t>
            </w:r>
            <w:r>
              <w:rPr>
                <w:rFonts w:ascii="Arial" w:hAnsi="Arial"/>
                <w:color w:val="334155"/>
                <w:sz w:val="19"/>
              </w:rPr>
              <w:t xml:space="preserve"> method-level authorization and </w:t>
            </w:r>
            <w:r>
              <w:rPr>
                <w:rFonts w:ascii="Arial" w:hAnsi="Arial"/>
                <w:b/>
                <w:color w:val="334155"/>
                <w:sz w:val="19"/>
              </w:rPr>
              <w:t>JWT</w:t>
            </w:r>
            <w:r>
              <w:rPr>
                <w:rFonts w:ascii="Arial" w:hAnsi="Arial"/>
                <w:color w:val="334155"/>
                <w:sz w:val="19"/>
              </w:rPr>
              <w:t xml:space="preserve"> claims to the operations API.</w:t>
            </w:r>
          </w:p>
          <w:p>
            <w:pPr>
              <w:spacing w:before="240" w:after="80"/>
              <w:pBdr>
                <w:bottom w:val="single" w:sz="6" w:space="4" w:color="007BB6"/>
              </w:pBdr>
            </w:pPr>
            <w:r>
              <w:rPr>
                <w:rFonts w:ascii="Arial" w:hAnsi="Arial"/>
                <w:b/>
                <w:color w:val="007BB6"/>
                <w:sz w:val="22"/>
              </w:rPr>
              <w:t>SELECTED PROJECTS</w:t>
            </w:r>
          </w:p>
          <w:p>
            <w:pPr>
              <w:spacing w:before="80" w:after="20"/>
            </w:pPr>
            <w:r>
              <w:rPr>
                <w:rFonts w:ascii="Arial" w:hAnsi="Arial"/>
                <w:b/>
                <w:color w:val="0F172A"/>
                <w:sz w:val="20"/>
              </w:rPr>
              <w:t>Enterprise Authentication &amp; Authorization Service</w:t>
            </w:r>
          </w:p>
          <w:p>
            <w:pPr>
              <w:spacing w:before="0" w:after="20"/>
            </w:pPr>
            <w:r>
              <w:rPr>
                <w:rFonts w:ascii="Arial" w:hAnsi="Arial"/>
                <w:color w:val="334155"/>
                <w:sz w:val="19"/>
              </w:rPr>
              <w:t>Spring Security service handling user registration, password hashing, JWT issuance and validation, and role-mapped access control across protected REST routes.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64748B"/>
                <w:sz w:val="17"/>
              </w:rPr>
              <w:t>STACK: Java / Spring Boot / Spring Security / JWT / Hibernate / MySQL</w:t>
            </w:r>
          </w:p>
          <w:p>
            <w:pPr>
              <w:spacing w:before="80" w:after="20"/>
            </w:pPr>
            <w:r>
              <w:rPr>
                <w:rFonts w:ascii="Arial" w:hAnsi="Arial"/>
                <w:b/>
                <w:color w:val="0F172A"/>
                <w:sz w:val="20"/>
              </w:rPr>
              <w:t>Himalayan Edges Commerce Platform</w:t>
            </w:r>
          </w:p>
          <w:p>
            <w:pPr>
              <w:spacing w:before="0" w:after="20"/>
            </w:pPr>
            <w:r>
              <w:rPr>
                <w:rFonts w:ascii="Arial" w:hAnsi="Arial"/>
                <w:color w:val="334155"/>
                <w:sz w:val="19"/>
              </w:rPr>
              <w:t>PWA-enabled e-commerce platform on Spring Boot REST services with modular controllers and normalized MySQL schemas, load-verified at 500+ concurrent users.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64748B"/>
                <w:sz w:val="17"/>
              </w:rPr>
              <w:t>STACK: Java / Spring Boot / Spring Data JPA / MySQL / AWS / PWA</w:t>
            </w:r>
          </w:p>
          <w:p>
            <w:pPr>
              <w:spacing w:before="80" w:after="20"/>
            </w:pPr>
            <w:r>
              <w:rPr>
                <w:rFonts w:ascii="Arial" w:hAnsi="Arial"/>
                <w:b/>
                <w:color w:val="0F172A"/>
                <w:sz w:val="20"/>
              </w:rPr>
              <w:t>Attendance Management &amp; Reporting Platform</w:t>
            </w:r>
          </w:p>
          <w:p>
            <w:pPr>
              <w:spacing w:before="0" w:after="20"/>
            </w:pPr>
            <w:r>
              <w:rPr>
                <w:rFonts w:ascii="Arial" w:hAnsi="Arial"/>
                <w:color w:val="334155"/>
                <w:sz w:val="19"/>
              </w:rPr>
              <w:t>Spring Boot service exposing REST endpoints for student registration, daily attendance logging, and scheduled Excel report generation, cutting manual record-keeping by 70%.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64748B"/>
                <w:sz w:val="17"/>
              </w:rPr>
              <w:t>STACK: Java / Spring Boot / Spring Data JPA / MySQL / REST APIs</w:t>
            </w:r>
          </w:p>
          <w:p>
            <w:pPr>
              <w:spacing w:before="80" w:after="20"/>
            </w:pPr>
            <w:r>
              <w:rPr>
                <w:rFonts w:ascii="Arial" w:hAnsi="Arial"/>
                <w:b/>
                <w:color w:val="0F172A"/>
                <w:sz w:val="20"/>
              </w:rPr>
              <w:t>Wallet &amp; Transaction Ledger Service</w:t>
            </w:r>
          </w:p>
          <w:p>
            <w:pPr>
              <w:spacing w:before="0" w:after="20"/>
            </w:pPr>
            <w:r>
              <w:rPr>
                <w:rFonts w:ascii="Arial" w:hAnsi="Arial"/>
                <w:color w:val="334155"/>
                <w:sz w:val="19"/>
              </w:rPr>
              <w:t>Wallet and ledger service built on Spring Data JPA and Hibernate, using managed transaction boundaries and indexed MySQL schemas to keep balances consistent under concurrent settlement.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64748B"/>
                <w:sz w:val="17"/>
              </w:rPr>
              <w:t>STACK: Java / Spring Boot / Spring Data JPA / Hibernate / MySQL / Redis</w:t>
            </w:r>
          </w:p>
        </w:tc>
        <w:tc>
          <w:tcPr>
            <w:tcW w:type="dxa" w:w="3312"/>
            <w:tcMar>
              <w:top w:w="240" w:type="dxa"/>
              <w:bottom w:w="240" w:type="dxa"/>
              <w:left w:w="180" w:type="dxa"/>
              <w:right w:w="180" w:type="dxa"/>
            </w:tcMar>
          </w:tcPr>
          <w:p>
            <w:pPr>
              <w:spacing w:before="0" w:after="80"/>
              <w:pBdr>
                <w:bottom w:val="single" w:sz="4" w:space="4" w:color="007BB6"/>
              </w:pBdr>
            </w:pPr>
            <w:r>
              <w:rPr>
                <w:b/>
              </w:rPr>
              <w:t>SUMMARY</w:t>
            </w:r>
          </w:p>
          <w:p>
            <w:pPr>
              <w:spacing w:before="40" w:after="160"/>
            </w:pPr>
            <w:r>
              <w:rPr>
                <w:rFonts w:ascii="Arial" w:hAnsi="Arial"/>
                <w:color w:val="4A5568"/>
                <w:sz w:val="17"/>
              </w:rPr>
              <w:t>Backend engineer, 3+ years running payment infrastructure that clears 500,000+ transactions a day for 2M+ users. Java/Spring Boot, Kafka, microservices. Wallet and ledger services settle over 10 billion INR daily with balances that reconcile, and AEPS, MATM and VATM orchestration holds a 99% success rate at peak through idempotent request handling and automated reconciliation. Cut p95 database latency 45% with covering indexes and Redis caching.</w:t>
            </w:r>
          </w:p>
          <w:p>
            <w:pPr>
              <w:spacing w:before="160" w:after="80"/>
              <w:pBdr>
                <w:bottom w:val="single" w:sz="4" w:space="4" w:color="007BB6"/>
              </w:pBdr>
            </w:pPr>
            <w:r>
              <w:rPr>
                <w:b/>
              </w:rPr>
              <w:t>EDUCATION</w:t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4A5568"/>
                <w:sz w:val="17"/>
              </w:rPr>
              <w:t>Bachelor of Technology (B.Tech.)</w:t>
              <w:br/>
              <w:t xml:space="preserve">                        Kanpur Institute of Technology</w:t>
              <w:br/>
              <w:t xml:space="preserve">                        2019 - 2023 | Kanpur, UP</w:t>
            </w:r>
          </w:p>
          <w:p>
            <w:pPr>
              <w:spacing w:before="240" w:after="80"/>
              <w:pBdr>
                <w:bottom w:val="single" w:sz="4" w:space="4" w:color="007BB6"/>
              </w:pBdr>
            </w:pPr>
            <w:r>
              <w:rPr>
                <w:b/>
              </w:rPr>
              <w:t>SKILLS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007BB6"/>
                <w:sz w:val="17"/>
              </w:rPr>
              <w:t xml:space="preserve">Core: </w:t>
            </w:r>
            <w:r>
              <w:rPr>
                <w:rFonts w:ascii="Arial" w:hAnsi="Arial"/>
                <w:color w:val="2D3748"/>
                <w:sz w:val="16"/>
              </w:rPr>
              <w:t>Java, Spring Boot, Spring Security, Spring Data JPA, Hibernate, microservices, REST APIs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007BB6"/>
                <w:sz w:val="17"/>
              </w:rPr>
              <w:t xml:space="preserve">Data &amp; Messaging: </w:t>
            </w:r>
            <w:r>
              <w:rPr>
                <w:rFonts w:ascii="Arial" w:hAnsi="Arial"/>
                <w:color w:val="2D3748"/>
                <w:sz w:val="16"/>
              </w:rPr>
              <w:t>Apache Kafka, MySQL, PostgreSQL, MongoDB, Redis, transaction boundaries, covering indexes, query tuning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007BB6"/>
                <w:sz w:val="17"/>
              </w:rPr>
              <w:t xml:space="preserve">Platform &amp; Delivery: </w:t>
            </w:r>
            <w:r>
              <w:rPr>
                <w:rFonts w:ascii="Arial" w:hAnsi="Arial"/>
                <w:color w:val="2D3748"/>
                <w:sz w:val="16"/>
              </w:rPr>
              <w:t>Docker, Kubernetes, GitHub Actions CI/CD, Maven, Gradle, JUnit 5, Mockito, Testcontainers, Prometheus, Grafana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007BB6"/>
                <w:sz w:val="17"/>
              </w:rPr>
              <w:t xml:space="preserve">Also: </w:t>
            </w:r>
            <w:r>
              <w:rPr>
                <w:rFonts w:ascii="Arial" w:hAnsi="Arial"/>
                <w:color w:val="2D3748"/>
                <w:sz w:val="16"/>
              </w:rPr>
              <w:t>Python, React.js, JavaScript (ES6+), JWT, RBAC, OpenAPI/Swagger, idempotency keys</w:t>
            </w:r>
          </w:p>
          <w:p>
            <w:pPr>
              <w:spacing w:before="240" w:after="80"/>
              <w:pBdr>
                <w:bottom w:val="single" w:sz="4" w:space="4" w:color="007BB6"/>
              </w:pBdr>
            </w:pPr>
            <w:r>
              <w:rPr>
                <w:b/>
              </w:rPr>
              <w:t>CERTIFICATIONS</w:t>
            </w:r>
          </w:p>
          <w:p>
            <w:pPr>
              <w:spacing w:before="0" w:after="40"/>
            </w:pPr>
            <w:r>
              <w:rPr>
                <w:rFonts w:ascii="Arial" w:hAnsi="Arial"/>
                <w:color w:val="4A5568"/>
                <w:sz w:val="16"/>
              </w:rPr>
              <w:t>IIT Kanpur Cyber Security Certification</w:t>
            </w:r>
          </w:p>
          <w:p>
            <w:pPr>
              <w:spacing w:before="240" w:after="80"/>
              <w:pBdr>
                <w:bottom w:val="single" w:sz="4" w:space="4" w:color="007BB6"/>
              </w:pBdr>
            </w:pPr>
            <w:r>
              <w:rPr>
                <w:b/>
              </w:rPr>
              <w:t>ACHIEVEMENTS</w:t>
            </w:r>
          </w:p>
          <w:p>
            <w:pPr>
              <w:pStyle w:val="ListBullet"/>
              <w:spacing w:before="0" w:after="40"/>
            </w:pPr>
            <w:r>
              <w:rPr>
                <w:rFonts w:ascii="Arial" w:hAnsi="Arial"/>
                <w:color w:val="4A5568"/>
                <w:sz w:val="16"/>
              </w:rPr>
              <w:t>HackerRank 4-Star Gold badge in SQL.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