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Java Full Stack Developer | Spring Boot · Microservices · REST APIs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Core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Platform &amp; Delivery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Also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Backend engineer, 3+ years running payment infrastructure that clears 500,000+ transactions a day for 2M+ users. Java/Spring Boot, Kafka, microservices. Wallet and ledger services settle over 10 billion INR daily with balances that reconcile, and AEPS, MATM and VATM orchestration holds a 99% success rate at peak through idempotent request handling and automated reconciliation. Cut p95 database latency 45% with covering indexes and Redis caching.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AEPS, MATM and VATM orchestration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automated end-of-day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Settled over </w:t>
            </w:r>
            <w:r>
              <w:rPr>
                <w:rFonts w:ascii="Arial" w:hAnsi="Arial"/>
                <w:b/>
                <w:color w:val="334155"/>
                <w:sz w:val="19"/>
              </w:rPr>
              <w:t>10 billion INR</w:t>
            </w:r>
            <w:r>
              <w:rPr>
                <w:rFonts w:ascii="Arial" w:hAnsi="Arial"/>
                <w:color w:val="334155"/>
                <w:sz w:val="19"/>
              </w:rPr>
              <w:t xml:space="preserve"> a day with balances that reconcile, by building the wallet and ledger services on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 with explicit transaction boundaries and optimistic locking.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by adding covering indexes, tuning the JPA fetch strategy to kill N+1 queries and caching hot lookups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e-governance systems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method-level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retry limits.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async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calls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topics, and surfacing consumer lag in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workforce tracking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on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— schema design through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live coordinates from Spring Boot </w:t>
            </w:r>
            <w:r>
              <w:rPr>
                <w:rFonts w:ascii="Arial" w:hAnsi="Arial"/>
                <w:b/>
                <w:color w:val="334155"/>
                <w:sz w:val="19"/>
              </w:rPr>
              <w:t>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into a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map view instead of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Enforced Admin, Supervisor and Employee boundaries across </w:t>
            </w:r>
            <w:r>
              <w:rPr>
                <w:rFonts w:ascii="Arial" w:hAnsi="Arial"/>
                <w:b/>
                <w:color w:val="334155"/>
                <w:sz w:val="19"/>
              </w:rPr>
              <w:t>100+ client accounts</w:t>
            </w:r>
            <w:r>
              <w:rPr>
                <w:rFonts w:ascii="Arial" w:hAnsi="Arial"/>
                <w:color w:val="334155"/>
                <w:sz w:val="19"/>
              </w:rPr>
              <w:t xml:space="preserve">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method-level authorization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claims to the operations API.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Security service handling user registration, password hashing, JWT issuance and validation, and role-mapped access control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Spring Boot REST services with modular controllers and normalized MySQL schemas, load-verified at 500+ concurrent users.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Attendance Management &amp; Reporting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Boot service exposing REST endpoints for student registration, daily attendance logging, and scheduled Excel report generation, cutting manual record-keeping by 70%.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REST APIs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Wallet &amp; Transaction Ledger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Hibernate / MySQL / Redis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