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Full Stack Engineer (MERN) | React · Node.js · MongoDB — Payments at 2M+ Users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— India's national digital services platform, 2M+ users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Held AEPS and MATM settlement at a </w:t>
            </w:r>
            <w:r>
              <w:rPr>
                <w:rFonts w:ascii="Arial" w:hAnsi="Arial"/>
                <w:b/>
                <w:color w:val="334155"/>
                <w:sz w:val="19"/>
              </w:rPr>
              <w:t>99% success rate</w:t>
            </w:r>
            <w:r>
              <w:rPr>
                <w:rFonts w:ascii="Arial" w:hAnsi="Arial"/>
                <w:color w:val="334155"/>
                <w:sz w:val="19"/>
              </w:rPr>
              <w:t xml:space="preserve"> through peak load, by making the UPI and XML payment path idempotent — request keys, exponential-backoff retries and an automated end-of-day reconciliation job.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Cut </w:t>
            </w:r>
            <w:r>
              <w:rPr>
                <w:rFonts w:ascii="Arial" w:hAnsi="Arial"/>
                <w:b/>
                <w:color w:val="334155"/>
                <w:sz w:val="19"/>
              </w:rPr>
              <w:t>p95 read latency 40%</w:t>
            </w:r>
            <w:r>
              <w:rPr>
                <w:rFonts w:ascii="Arial" w:hAnsi="Arial"/>
                <w:color w:val="334155"/>
                <w:sz w:val="19"/>
              </w:rPr>
              <w:t xml:space="preserve"> on the transaction APIs serving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 xml:space="preserve">, by collapsing N+1 </w:t>
            </w:r>
            <w:r>
              <w:rPr>
                <w:rFonts w:ascii="Arial" w:hAnsi="Arial"/>
                <w:b/>
                <w:color w:val="334155"/>
                <w:sz w:val="19"/>
              </w:rPr>
              <w:t>Mongoose</w:t>
            </w:r>
            <w:r>
              <w:rPr>
                <w:rFonts w:ascii="Arial" w:hAnsi="Arial"/>
                <w:color w:val="334155"/>
                <w:sz w:val="19"/>
              </w:rPr>
              <w:t xml:space="preserve"> queries into a single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 aggregation pipeline and compound-indexing the hot collections.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Streamed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to operations in real time, by building the transaction and geolocation dashboards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 over a </w:t>
            </w:r>
            <w:r>
              <w:rPr>
                <w:rFonts w:ascii="Arial" w:hAnsi="Arial"/>
                <w:b/>
                <w:color w:val="334155"/>
                <w:sz w:val="19"/>
              </w:rPr>
              <w:t>WebSocket</w:t>
            </w:r>
            <w:r>
              <w:rPr>
                <w:rFonts w:ascii="Arial" w:hAnsi="Arial"/>
                <w:color w:val="334155"/>
                <w:sz w:val="19"/>
              </w:rPr>
              <w:t xml:space="preserve"> feed with memoised selectors.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Contained a bad release to one service instead of the whole portal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 xml:space="preserve">, by decomposing a monolithic e-governance system into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 behind a versioned REST gateway.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Blocked </w:t>
            </w:r>
            <w:r>
              <w:rPr>
                <w:rFonts w:ascii="Arial" w:hAnsi="Arial"/>
                <w:b/>
                <w:color w:val="334155"/>
                <w:sz w:val="19"/>
              </w:rPr>
              <w:t>99.9%</w:t>
            </w:r>
            <w:r>
              <w:rPr>
                <w:rFonts w:ascii="Arial" w:hAnsi="Arial"/>
                <w:color w:val="334155"/>
                <w:sz w:val="19"/>
              </w:rPr>
              <w:t xml:space="preserve"> of unauthorized access attempts on the payments API, by adding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access/refresh rotation,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>-backed sessions, device binding, RBAC middleware and per-device OTP rate limiting.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Retired manual releases across all </w:t>
            </w:r>
            <w:r>
              <w:rPr>
                <w:rFonts w:ascii="Arial" w:hAnsi="Arial"/>
                <w:b/>
                <w:color w:val="334155"/>
                <w:sz w:val="19"/>
              </w:rPr>
              <w:t>3</w:t>
            </w:r>
            <w:r>
              <w:rPr>
                <w:rFonts w:ascii="Arial" w:hAnsi="Arial"/>
                <w:color w:val="334155"/>
                <w:sz w:val="19"/>
              </w:rPr>
              <w:t xml:space="preserve"> payment platforms, by containerising the services with </w:t>
            </w:r>
            <w:r>
              <w:rPr>
                <w:rFonts w:ascii="Arial" w:hAnsi="Arial"/>
                <w:b/>
                <w:color w:val="334155"/>
                <w:sz w:val="19"/>
              </w:rPr>
              <w:t>Docker</w:t>
            </w:r>
            <w:r>
              <w:rPr>
                <w:rFonts w:ascii="Arial" w:hAnsi="Arial"/>
                <w:color w:val="334155"/>
                <w:sz w:val="19"/>
              </w:rPr>
              <w:t xml:space="preserve"> and gating every merge on </w:t>
            </w:r>
            <w:r>
              <w:rPr>
                <w:rFonts w:ascii="Arial" w:hAnsi="Arial"/>
                <w:b/>
                <w:color w:val="334155"/>
                <w:sz w:val="19"/>
              </w:rPr>
              <w:t>GitHub Actions</w:t>
            </w:r>
            <w:r>
              <w:rPr>
                <w:rFonts w:ascii="Arial" w:hAnsi="Arial"/>
                <w:color w:val="334155"/>
                <w:sz w:val="19"/>
              </w:rPr>
              <w:t xml:space="preserve"> running </w:t>
            </w:r>
            <w:r>
              <w:rPr>
                <w:rFonts w:ascii="Arial" w:hAnsi="Arial"/>
                <w:b/>
                <w:color w:val="334155"/>
                <w:sz w:val="19"/>
              </w:rPr>
              <w:t>Jest</w:t>
            </w:r>
            <w:r>
              <w:rPr>
                <w:rFonts w:ascii="Arial" w:hAnsi="Arial"/>
                <w:color w:val="334155"/>
                <w:sz w:val="19"/>
              </w:rPr>
              <w:t xml:space="preserve"> unit and </w:t>
            </w:r>
            <w:r>
              <w:rPr>
                <w:rFonts w:ascii="Arial" w:hAnsi="Arial"/>
                <w:b/>
                <w:color w:val="334155"/>
                <w:sz w:val="19"/>
              </w:rPr>
              <w:t>Supertest</w:t>
            </w:r>
            <w:r>
              <w:rPr>
                <w:rFonts w:ascii="Arial" w:hAnsi="Arial"/>
                <w:color w:val="334155"/>
                <w:sz w:val="19"/>
              </w:rPr>
              <w:t xml:space="preserve"> integration suites.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Contract engagement — field-workforce logistics, 1,000+ agents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Shipped a field-workforce platform used by </w:t>
            </w:r>
            <w:r>
              <w:rPr>
                <w:rFonts w:ascii="Arial" w:hAnsi="Arial"/>
                <w:b/>
                <w:color w:val="334155"/>
                <w:sz w:val="19"/>
              </w:rPr>
              <w:t>1,000+ agents</w:t>
            </w:r>
            <w:r>
              <w:rPr>
                <w:rFonts w:ascii="Arial" w:hAnsi="Arial"/>
                <w:color w:val="334155"/>
                <w:sz w:val="19"/>
              </w:rPr>
              <w:t xml:space="preserve"> end to end — schema design through AWS deployment — on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Brought dashboard load time down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 xml:space="preserve">, by route-level code splitting of the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map view, virtualising marker rendering and streaming positions over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 xml:space="preserve"> instead of polling.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Removed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 xml:space="preserve"> of redundant API calls, by moving server state onto </w:t>
            </w:r>
            <w:r>
              <w:rPr>
                <w:rFonts w:ascii="Arial" w:hAnsi="Arial"/>
                <w:b/>
                <w:color w:val="334155"/>
                <w:sz w:val="19"/>
              </w:rPr>
              <w:t>React Query</w:t>
            </w:r>
            <w:r>
              <w:rPr>
                <w:rFonts w:ascii="Arial" w:hAnsi="Arial"/>
                <w:color w:val="334155"/>
                <w:sz w:val="19"/>
              </w:rPr>
              <w:t xml:space="preserve"> with stale-while-revalidate caching and consolidating client state in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— MERN Commerce PWA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Lifted page-load speed and client usage 30% at a 20% cart conversion rate, by shipping a service-worker offline cache, route-level code splitting and S3-backed asset delivery on a React, Express and MongoDB storefront.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PWA / AWS S3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DigiPay Web SDK &amp; React Widgets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Embeddable React component library and browser SDK published from an npm workspaces monorepo, giving merchant sites a drop-in payment UI over a versioned REST API. github.com/GitHub-akhilesh/Django_apis_digipay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TypeScript / npm workspaces / Webpack / REST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Task Platform — React Web and React Native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React web client and React Native mobile app over a containerised REST backend, built as a workspace monorepo with Webpack builds and Docker Compose orchestration. github.com/GitHub-akhilesh/To-do-list-app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React Native / Node.js / Docker / Webpack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Real-Time Geofencing &amp; Telemetry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Delivers live GPS positions and geofence alerts to 1,000+ field agents with no polling anywhere in the path, by streaming over WebSockets from an Express ingestion API into time-indexed MongoDB collections.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WebSockets / MongoDB / Redis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Full stack engineer, 3+ years on India's national payments platform — 500,000+ transactions a day for 2 million+ users. Cut p95 read latency 40% by rewriting the MongoDB aggregation pipelines behind it, and held AEPS and MATM settlement at a 99% success rate by making the payment path idempotent and self-reconciling. React, TypeScript and Node.js end to end — schema design through Dockerised CI/CD.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Frontend: </w:t>
            </w:r>
            <w:r>
              <w:rPr>
                <w:rFonts w:ascii="Arial" w:hAnsi="Arial"/>
                <w:color w:val="2D3748"/>
                <w:sz w:val="16"/>
              </w:rPr>
              <w:t>React.js, Next.js SSR/ISR, TypeScript, JavaScript (ES6+), Redux Toolkit, React Query, Tailwind CSS, Material UI, code splitting, Core Web Vitals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Backend &amp; APIs: </w:t>
            </w:r>
            <w:r>
              <w:rPr>
                <w:rFonts w:ascii="Arial" w:hAnsi="Arial"/>
                <w:color w:val="2D3748"/>
                <w:sz w:val="16"/>
              </w:rPr>
              <w:t>Node.js, Express.js, REST API design, OpenAPI/Swagger, WebSockets, JWT, OAuth 2.0, RBAC, rate limiting, idempotency keys, API versioning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Caching: </w:t>
            </w:r>
            <w:r>
              <w:rPr>
                <w:rFonts w:ascii="Arial" w:hAnsi="Arial"/>
                <w:color w:val="2D3748"/>
                <w:sz w:val="16"/>
              </w:rPr>
              <w:t>MongoDB, aggregation pipelines, compound indexing, sharding, Mongoose, Redis, PostgreSQL, query profiling, schema design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Testing, Cloud &amp; Practice: </w:t>
            </w:r>
            <w:r>
              <w:rPr>
                <w:rFonts w:ascii="Arial" w:hAnsi="Arial"/>
                <w:color w:val="2D3748"/>
                <w:sz w:val="16"/>
              </w:rPr>
              <w:t>Jest, React Testing Library, Supertest, Docker, GitHub Actions CI/CD, AWS EC2/S3/CloudFront, Nginx, Grafana, Sentry, Agile/Scrum, code review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