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Java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Java, Spring Boot, Microservices, Spring MVC, Spring Data JPA, Hibernate, Spring Cloud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RESTful APIs, JWT Security, RBAC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Redis cache, Apache Kafka, database transactions,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systems into scalable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service reliability and deployment speed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handling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enterprise APIs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high-performance wallet and ledger systems using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, processing over </w:t>
      </w:r>
      <w:r>
        <w:rPr>
          <w:rFonts w:ascii="Arial" w:hAnsi="Arial"/>
          <w:b/>
          <w:color w:val="111111"/>
          <w:sz w:val="20"/>
        </w:rPr>
        <w:t>₹10 billion (INR 100 Crore)</w:t>
      </w:r>
      <w:r>
        <w:rPr>
          <w:rFonts w:ascii="Arial" w:hAnsi="Arial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Optimized database transactions and search queries in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between microservices using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>, enhancing asynchronous data processing speed by 35%.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responsive map-based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using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secure backend API in Spring Boot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Java Authentication &amp; Secure Login Portal\n</w:t>
            </w:r>
            <w:r>
              <w:rPr>
                <w:rFonts w:ascii="Arial" w:hAnsi="Arial"/>
                <w:color w:val="333333"/>
                <w:sz w:val="19"/>
              </w:rPr>
              <w:t>Engineered a secure backend service featuring user registration, password hashing, JWT token generation, and secure routes mapping.\n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Engineered an e-commerce platform using Spring Boot and React.js with PWA capabilities, hosted on AWS, boosting speed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React.js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Developed a student attendance system by linking a Python face detection script (OpenCV) with a Spring Boot enterprise database backend.\n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Python / OpenCV / MySQL / React.js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