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e-governance systems into scalable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microservices, improving service reliability and deployment speed for </w:t>
      </w:r>
      <w:r>
        <w:rPr>
          <w:rFonts w:ascii="Georgia" w:hAnsi="Georgia"/>
          <w:b/>
          <w:color w:val="111111"/>
          <w:sz w:val="20"/>
        </w:rPr>
        <w:t>2 million+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handling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enterprise APIs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high-performance wallet and ledger systems using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, processing over </w:t>
      </w:r>
      <w:r>
        <w:rPr>
          <w:rFonts w:ascii="Georgia" w:hAnsi="Georgia"/>
          <w:b/>
          <w:color w:val="111111"/>
          <w:sz w:val="20"/>
        </w:rPr>
        <w:t>₹10 billion (INR 100 Crore)</w:t>
      </w:r>
      <w:r>
        <w:rPr>
          <w:rFonts w:ascii="Georgia" w:hAnsi="Georgia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Optimized database transactions and search queries in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between microservices using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responsive map-based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using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secure backend API in Spring Boot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