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</w:t>
      </w:r>
      <w:r>
        <w:rPr>
          <w:rFonts w:ascii="Georgia" w:hAnsi="Georgia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&amp; APIs </w:t>
      </w:r>
      <w:r>
        <w:rPr>
          <w:rFonts w:ascii="Georgia" w:hAnsi="Georgia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Tools &amp; Cloud </w:t>
      </w:r>
      <w:r>
        <w:rPr>
          <w:rFonts w:ascii="Georgia" w:hAnsi="Georgia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e-governance systems into scalable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microservices, improving service reliability and deployment speed for </w:t>
      </w:r>
      <w:r>
        <w:rPr>
          <w:rFonts w:ascii="Georgia" w:hAnsi="Georgia"/>
          <w:b/>
          <w:color w:val="111111"/>
          <w:sz w:val="20"/>
        </w:rPr>
        <w:t>20 lakh+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handling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enterprise APIs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), implementing device binding.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high-performance wallet and ledger systems using </w:t>
      </w:r>
      <w:r>
        <w:rPr>
          <w:rFonts w:ascii="Georgia" w:hAnsi="Georgia"/>
          <w:b/>
          <w:color w:val="111111"/>
          <w:sz w:val="20"/>
        </w:rPr>
        <w:t>Spring Data JPA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Hibernate</w:t>
      </w:r>
      <w:r>
        <w:rPr>
          <w:rFonts w:ascii="Georgia" w:hAnsi="Georgia"/>
          <w:color w:val="333333"/>
          <w:sz w:val="20"/>
        </w:rPr>
        <w:t xml:space="preserve">, processing over </w:t>
      </w:r>
      <w:r>
        <w:rPr>
          <w:rFonts w:ascii="Georgia" w:hAnsi="Georgia"/>
          <w:b/>
          <w:color w:val="111111"/>
          <w:sz w:val="20"/>
        </w:rPr>
        <w:t>₹100 crore</w:t>
      </w:r>
      <w:r>
        <w:rPr>
          <w:rFonts w:ascii="Georgia" w:hAnsi="Georgia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Optimized database transactions and search queries in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using indexing and cache tuning.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between microservices using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>, enhancing asynchronous data processing speed.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tracking application utilizing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responsive map-based dashboard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using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 (antd), connecting via WebSockets to a Spring Boot backend.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Implemented a secure backend API in Spring Boot using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to manage role-based dashboard access control.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