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to handle high-volume wallet ledger records.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(antd) to visualize coordinates, speed, and geofences.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Implemented a high-performance, asynchronous ingestion API to capture GPS locations (</w:t>
            </w:r>
            <w:r>
              <w:rPr>
                <w:rFonts w:ascii="Arial" w:hAnsi="Arial"/>
                <w:color w:val="334155"/>
                <w:sz w:val="19"/>
              </w:rPr>
              <w:t>/api/v1/tracking/ingest</w:t>
            </w:r>
            <w:r>
              <w:rPr>
                <w:rFonts w:ascii="Arial" w:hAnsi="Arial"/>
                <w:color w:val="334155"/>
                <w:sz w:val="19"/>
              </w:rPr>
              <w:t xml:space="preserve">) using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