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Java Full Stack Developer | Spring Boot · Microservices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 Java &amp; Spring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APIs, Security &amp; UI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 &amp; DevOps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Over 10 billion INR settled daily across wallet and ledger services built on Spring Boot, Spring Data JPA and Hibernate. Held AEPS, MATM and VATM orchestration at a 99% success rate over 500,000+ daily transactions by making the payment path idempotent and self-reconciling, and cut p95 database latency 45% through covering indexes and Redis caching. Strong on the unglamorous parts — transaction boundaries, Kafka messaging, JUnit coverage.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AEPS, MATM and VATM orchestration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, by making the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payment path idempotent with request keys, backoff retries and automated end-of-day reconciliation.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Settled over </w:t>
            </w:r>
            <w:r>
              <w:rPr>
                <w:rFonts w:ascii="Arial" w:hAnsi="Arial"/>
                <w:b/>
                <w:color w:val="334155"/>
                <w:sz w:val="19"/>
              </w:rPr>
              <w:t>10 billion INR</w:t>
            </w:r>
            <w:r>
              <w:rPr>
                <w:rFonts w:ascii="Arial" w:hAnsi="Arial"/>
                <w:color w:val="334155"/>
                <w:sz w:val="19"/>
              </w:rPr>
              <w:t xml:space="preserve"> a day with balances that reconcile, by building the wallet and ledger services on </w:t>
            </w:r>
            <w:r>
              <w:rPr>
                <w:rFonts w:ascii="Arial" w:hAnsi="Arial"/>
                <w:b/>
                <w:color w:val="334155"/>
                <w:sz w:val="19"/>
              </w:rPr>
              <w:t>Spring Data JPA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Hibernate</w:t>
            </w:r>
            <w:r>
              <w:rPr>
                <w:rFonts w:ascii="Arial" w:hAnsi="Arial"/>
                <w:color w:val="334155"/>
                <w:sz w:val="19"/>
              </w:rPr>
              <w:t xml:space="preserve"> with explicit transaction boundaries and optimistic locking.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p95 read/write latency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across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by adding covering indexes, tuning the JPA fetch strategy to kill N+1 queries and caching hot lookups in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splitting monolithic e-governance systems into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, method-level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device binding and OTP retry limits.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Lifted async throughput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, by moving inter-service calls onto </w:t>
            </w:r>
            <w:r>
              <w:rPr>
                <w:rFonts w:ascii="Arial" w:hAnsi="Arial"/>
                <w:b/>
                <w:color w:val="334155"/>
                <w:sz w:val="19"/>
              </w:rPr>
              <w:t>Apache Kafka</w:t>
            </w:r>
            <w:r>
              <w:rPr>
                <w:rFonts w:ascii="Arial" w:hAnsi="Arial"/>
                <w:color w:val="334155"/>
                <w:sz w:val="19"/>
              </w:rPr>
              <w:t xml:space="preserve"> with dead-letter topics, and surfacing consumer lag in </w:t>
            </w:r>
            <w:r>
              <w:rPr>
                <w:rFonts w:ascii="Arial" w:hAnsi="Arial"/>
                <w:b/>
                <w:color w:val="334155"/>
                <w:sz w:val="19"/>
              </w:rPr>
              <w:t>Prometheus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Grafana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 (Contract)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Independent Client Engagement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workforce tracking platform for </w:t>
            </w:r>
            <w:r>
              <w:rPr>
                <w:rFonts w:ascii="Arial" w:hAnsi="Arial"/>
                <w:b/>
                <w:color w:val="334155"/>
                <w:sz w:val="19"/>
              </w:rPr>
              <w:t>1,000+ field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on </w:t>
            </w:r>
            <w:r>
              <w:rPr>
                <w:rFonts w:ascii="Arial" w:hAnsi="Arial"/>
                <w:b/>
                <w:color w:val="334155"/>
                <w:sz w:val="19"/>
              </w:rPr>
              <w:t>Java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— schema design through AWS deployment.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streaming live coordinates from Spring Boot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endpoints into a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 xml:space="preserve"> map view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Enforced Admin, Supervisor and Employee boundaries across </w:t>
            </w:r>
            <w:r>
              <w:rPr>
                <w:rFonts w:ascii="Arial" w:hAnsi="Arial"/>
                <w:b/>
                <w:color w:val="334155"/>
                <w:sz w:val="19"/>
              </w:rPr>
              <w:t>100+ client accounts</w:t>
            </w:r>
            <w:r>
              <w:rPr>
                <w:rFonts w:ascii="Arial" w:hAnsi="Arial"/>
                <w:color w:val="334155"/>
                <w:sz w:val="19"/>
              </w:rPr>
              <w:t xml:space="preserve">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Spring Security</w:t>
            </w:r>
            <w:r>
              <w:rPr>
                <w:rFonts w:ascii="Arial" w:hAnsi="Arial"/>
                <w:color w:val="334155"/>
                <w:sz w:val="19"/>
              </w:rPr>
              <w:t xml:space="preserve"> method-level authorization and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claims to the operations API.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Enterprise Authentication &amp; Authorization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Security service handling user registration, password hashing, JWT issuance and validation, and role-mapped access control across protected REST routes.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Security / JWT / Hibernate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Spring Boot REST services with modular controllers and normalized MySQL schemas, load-verified at 500+ concurrent users.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Attendance Management &amp; Reporting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Spring Boot service exposing REST endpoints for student registration, daily attendance logging, and scheduled Excel report generation, cutting manual record-keeping by 70%.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MySQL / REST APIs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Wallet &amp; Transaction Ledger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Java / Spring Boot / Spring Data JPA / Hibernate / MySQL / Redis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