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Georgia" w:hAnsi="Georgia"/>
          <w:b/>
          <w:color w:val="1A1A1A"/>
          <w:sz w:val="24"/>
        </w:rPr>
        <w:t>Java Full Stack Developer | Spring Boot · Microservices · REST APIs</w:t>
      </w:r>
    </w:p>
    <w:p>
      <w:pPr>
        <w:spacing w:before="0" w:after="200"/>
        <w:jc w:val="center"/>
      </w:pPr>
      <w:r>
        <w:rPr>
          <w:rFonts w:ascii="Georgia" w:hAnsi="Georgia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PROFILE</w:t>
      </w:r>
    </w:p>
    <w:p>
      <w:pPr>
        <w:spacing w:before="0" w:after="120"/>
        <w:jc w:val="both"/>
      </w:pPr>
      <w:r>
        <w:rPr>
          <w:rFonts w:ascii="Georgia" w:hAnsi="Georgia"/>
          <w:color w:val="333333"/>
          <w:sz w:val="20"/>
        </w:rPr>
        <w:t>Over 10 billion INR settled daily across wallet and ledger services built on Spring Boot, Spring Data JPA and Hibernate. Held AEPS, MATM and VATM orchestration at a 99% success rate over 500,000+ daily transactions by making the payment path idempotent and self-reconciling, and cut p95 database latency 45% through covering indexes and Redis caching. Strong on the unglamorous parts — transaction boundaries, Kafka messaging, JUnit coverage.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CORE TECHNOLOGY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Core Java &amp; Spring </w:t>
      </w:r>
      <w:r>
        <w:rPr>
          <w:rFonts w:ascii="Georgia" w:hAnsi="Georgia"/>
          <w:color w:val="333333"/>
          <w:sz w:val="20"/>
        </w:rPr>
        <w:t>Java, Spring Boot, Spring MVC, Spring Security, Spring Data JPA, Hibernate, Spring Cloud, microservices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APIs, Security &amp; UI </w:t>
      </w:r>
      <w:r>
        <w:rPr>
          <w:rFonts w:ascii="Georgia" w:hAnsi="Georgia"/>
          <w:color w:val="333333"/>
          <w:sz w:val="20"/>
        </w:rPr>
        <w:t>RESTful APIs, OpenAPI/Swagger, JWT, RBAC, device binding, rate limiting, idempotency keys, API versioning, React.js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Data &amp; Messaging </w:t>
      </w:r>
      <w:r>
        <w:rPr>
          <w:rFonts w:ascii="Georgia" w:hAnsi="Georgia"/>
          <w:color w:val="333333"/>
          <w:sz w:val="20"/>
        </w:rPr>
        <w:t>MySQL, PostgreSQL, transaction boundaries, covering indexes, query tuning, Redis, Apache Kafka, dead-letter topics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Testing &amp; DevOps </w:t>
      </w:r>
      <w:r>
        <w:rPr>
          <w:rFonts w:ascii="Georgia" w:hAnsi="Georgia"/>
          <w:color w:val="333333"/>
          <w:sz w:val="20"/>
        </w:rPr>
        <w:t>JUnit 5, Mockito, Testcontainers, Maven, Gradle, Docker, Kubernetes, GitHub Actions CI/CD, Actuator, Prometheus, Grafana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EXPERIENCE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Held AEPS, MATM and VATM orchestration at a </w:t>
      </w:r>
      <w:r>
        <w:rPr>
          <w:rFonts w:ascii="Georgia" w:hAnsi="Georgia"/>
          <w:b/>
          <w:color w:val="111111"/>
          <w:sz w:val="20"/>
        </w:rPr>
        <w:t>99% success rate</w:t>
      </w:r>
      <w:r>
        <w:rPr>
          <w:rFonts w:ascii="Georgia" w:hAnsi="Georgia"/>
          <w:color w:val="333333"/>
          <w:sz w:val="20"/>
        </w:rPr>
        <w:t xml:space="preserve"> across </w:t>
      </w:r>
      <w:r>
        <w:rPr>
          <w:rFonts w:ascii="Georgia" w:hAnsi="Georgia"/>
          <w:b/>
          <w:color w:val="111111"/>
          <w:sz w:val="20"/>
        </w:rPr>
        <w:t>500,000+ daily transactions</w:t>
      </w:r>
      <w:r>
        <w:rPr>
          <w:rFonts w:ascii="Georgia" w:hAnsi="Georgia"/>
          <w:color w:val="333333"/>
          <w:sz w:val="20"/>
        </w:rPr>
        <w:t xml:space="preserve">, by making the </w:t>
      </w:r>
      <w:r>
        <w:rPr>
          <w:rFonts w:ascii="Georgia" w:hAnsi="Georgia"/>
          <w:b/>
          <w:color w:val="111111"/>
          <w:sz w:val="20"/>
        </w:rPr>
        <w:t>Spring Boot</w:t>
      </w:r>
      <w:r>
        <w:rPr>
          <w:rFonts w:ascii="Georgia" w:hAnsi="Georgia"/>
          <w:color w:val="333333"/>
          <w:sz w:val="20"/>
        </w:rPr>
        <w:t xml:space="preserve"> payment path idempotent with request keys, backoff retries and automated end-of-day reconciliation.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Settled over </w:t>
      </w:r>
      <w:r>
        <w:rPr>
          <w:rFonts w:ascii="Georgia" w:hAnsi="Georgia"/>
          <w:b/>
          <w:color w:val="111111"/>
          <w:sz w:val="20"/>
        </w:rPr>
        <w:t>10 billion INR</w:t>
      </w:r>
      <w:r>
        <w:rPr>
          <w:rFonts w:ascii="Georgia" w:hAnsi="Georgia"/>
          <w:color w:val="333333"/>
          <w:sz w:val="20"/>
        </w:rPr>
        <w:t xml:space="preserve"> a day with balances that reconcile, by building the wallet and ledger services on </w:t>
      </w:r>
      <w:r>
        <w:rPr>
          <w:rFonts w:ascii="Georgia" w:hAnsi="Georgia"/>
          <w:b/>
          <w:color w:val="111111"/>
          <w:sz w:val="20"/>
        </w:rPr>
        <w:t>Spring Data JPA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Hibernate</w:t>
      </w:r>
      <w:r>
        <w:rPr>
          <w:rFonts w:ascii="Georgia" w:hAnsi="Georgia"/>
          <w:color w:val="333333"/>
          <w:sz w:val="20"/>
        </w:rPr>
        <w:t xml:space="preserve"> with explicit transaction boundaries and optimistic locking.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Cut p95 read/write latency </w:t>
      </w:r>
      <w:r>
        <w:rPr>
          <w:rFonts w:ascii="Georgia" w:hAnsi="Georgia"/>
          <w:b/>
          <w:color w:val="111111"/>
          <w:sz w:val="20"/>
        </w:rPr>
        <w:t>45%</w:t>
      </w:r>
      <w:r>
        <w:rPr>
          <w:rFonts w:ascii="Georgia" w:hAnsi="Georgia"/>
          <w:color w:val="333333"/>
          <w:sz w:val="20"/>
        </w:rPr>
        <w:t xml:space="preserve"> across </w:t>
      </w:r>
      <w:r>
        <w:rPr>
          <w:rFonts w:ascii="Georgia" w:hAnsi="Georgia"/>
          <w:b/>
          <w:color w:val="111111"/>
          <w:sz w:val="20"/>
        </w:rPr>
        <w:t>MySQL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PostgreSQL</w:t>
      </w:r>
      <w:r>
        <w:rPr>
          <w:rFonts w:ascii="Georgia" w:hAnsi="Georgia"/>
          <w:color w:val="333333"/>
          <w:sz w:val="20"/>
        </w:rPr>
        <w:t xml:space="preserve">, by adding covering indexes, tuning the JPA fetch strategy to kill N+1 queries and caching hot lookups in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>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Contained a bad release to one service instead of the whole portal for </w:t>
      </w:r>
      <w:r>
        <w:rPr>
          <w:rFonts w:ascii="Georgia" w:hAnsi="Georgia"/>
          <w:b/>
          <w:color w:val="111111"/>
          <w:sz w:val="20"/>
        </w:rPr>
        <w:t>2 million+ users</w:t>
      </w:r>
      <w:r>
        <w:rPr>
          <w:rFonts w:ascii="Georgia" w:hAnsi="Georgia"/>
          <w:color w:val="333333"/>
          <w:sz w:val="20"/>
        </w:rPr>
        <w:t xml:space="preserve">, by splitting monolithic e-governance systems into </w:t>
      </w:r>
      <w:r>
        <w:rPr>
          <w:rFonts w:ascii="Georgia" w:hAnsi="Georgia"/>
          <w:b/>
          <w:color w:val="111111"/>
          <w:sz w:val="20"/>
        </w:rPr>
        <w:t>Spring Boot</w:t>
      </w:r>
      <w:r>
        <w:rPr>
          <w:rFonts w:ascii="Georgia" w:hAnsi="Georgia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Blocked </w:t>
      </w:r>
      <w:r>
        <w:rPr>
          <w:rFonts w:ascii="Georgia" w:hAnsi="Georgia"/>
          <w:b/>
          <w:color w:val="111111"/>
          <w:sz w:val="20"/>
        </w:rPr>
        <w:t>99.9%</w:t>
      </w:r>
      <w:r>
        <w:rPr>
          <w:rFonts w:ascii="Georgia" w:hAnsi="Georgia"/>
          <w:color w:val="333333"/>
          <w:sz w:val="20"/>
        </w:rPr>
        <w:t xml:space="preserve"> of unauthorized access attempts, by adding </w:t>
      </w:r>
      <w:r>
        <w:rPr>
          <w:rFonts w:ascii="Georgia" w:hAnsi="Georgia"/>
          <w:b/>
          <w:color w:val="111111"/>
          <w:sz w:val="20"/>
        </w:rPr>
        <w:t>Spring Security</w:t>
      </w:r>
      <w:r>
        <w:rPr>
          <w:rFonts w:ascii="Georgia" w:hAnsi="Georgia"/>
          <w:color w:val="333333"/>
          <w:sz w:val="20"/>
        </w:rPr>
        <w:t xml:space="preserve"> with </w:t>
      </w:r>
      <w:r>
        <w:rPr>
          <w:rFonts w:ascii="Georgia" w:hAnsi="Georgia"/>
          <w:b/>
          <w:color w:val="111111"/>
          <w:sz w:val="20"/>
        </w:rPr>
        <w:t>JWT</w:t>
      </w:r>
      <w:r>
        <w:rPr>
          <w:rFonts w:ascii="Georgia" w:hAnsi="Georgia"/>
          <w:color w:val="333333"/>
          <w:sz w:val="20"/>
        </w:rPr>
        <w:t xml:space="preserve">, method-level </w:t>
      </w:r>
      <w:r>
        <w:rPr>
          <w:rFonts w:ascii="Georgia" w:hAnsi="Georgia"/>
          <w:b/>
          <w:color w:val="111111"/>
          <w:sz w:val="20"/>
        </w:rPr>
        <w:t>RBAC</w:t>
      </w:r>
      <w:r>
        <w:rPr>
          <w:rFonts w:ascii="Georgia" w:hAnsi="Georgia"/>
          <w:color w:val="333333"/>
          <w:sz w:val="20"/>
        </w:rPr>
        <w:t>, device binding and OTP retry limits.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Lifted async throughput </w:t>
      </w:r>
      <w:r>
        <w:rPr>
          <w:rFonts w:ascii="Georgia" w:hAnsi="Georgia"/>
          <w:b/>
          <w:color w:val="111111"/>
          <w:sz w:val="20"/>
        </w:rPr>
        <w:t>35%</w:t>
      </w:r>
      <w:r>
        <w:rPr>
          <w:rFonts w:ascii="Georgia" w:hAnsi="Georgia"/>
          <w:color w:val="333333"/>
          <w:sz w:val="20"/>
        </w:rPr>
        <w:t xml:space="preserve">, by moving inter-service calls onto </w:t>
      </w:r>
      <w:r>
        <w:rPr>
          <w:rFonts w:ascii="Georgia" w:hAnsi="Georgia"/>
          <w:b/>
          <w:color w:val="111111"/>
          <w:sz w:val="20"/>
        </w:rPr>
        <w:t>Apache Kafka</w:t>
      </w:r>
      <w:r>
        <w:rPr>
          <w:rFonts w:ascii="Georgia" w:hAnsi="Georgia"/>
          <w:color w:val="333333"/>
          <w:sz w:val="20"/>
        </w:rPr>
        <w:t xml:space="preserve"> with dead-letter topics, and surfacing consumer lag in </w:t>
      </w:r>
      <w:r>
        <w:rPr>
          <w:rFonts w:ascii="Georgia" w:hAnsi="Georgia"/>
          <w:b/>
          <w:color w:val="111111"/>
          <w:sz w:val="20"/>
        </w:rPr>
        <w:t>Prometheus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Grafana</w:t>
      </w:r>
      <w:r>
        <w:rPr>
          <w:rFonts w:ascii="Georgia" w:hAnsi="Georgia"/>
          <w:color w:val="333333"/>
          <w:sz w:val="20"/>
        </w:rPr>
        <w:t>.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Shipped a workforce tracking platform for </w:t>
      </w:r>
      <w:r>
        <w:rPr>
          <w:rFonts w:ascii="Georgia" w:hAnsi="Georgia"/>
          <w:b/>
          <w:color w:val="111111"/>
          <w:sz w:val="20"/>
        </w:rPr>
        <w:t>1,000+ field agents</w:t>
      </w:r>
      <w:r>
        <w:rPr>
          <w:rFonts w:ascii="Georgia" w:hAnsi="Georgia"/>
          <w:color w:val="333333"/>
          <w:sz w:val="20"/>
        </w:rPr>
        <w:t xml:space="preserve"> end to end on </w:t>
      </w:r>
      <w:r>
        <w:rPr>
          <w:rFonts w:ascii="Georgia" w:hAnsi="Georgia"/>
          <w:b/>
          <w:color w:val="111111"/>
          <w:sz w:val="20"/>
        </w:rPr>
        <w:t>Java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Spring Boot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— schema design through AWS deployment.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Brought dashboard load time down </w:t>
      </w:r>
      <w:r>
        <w:rPr>
          <w:rFonts w:ascii="Georgia" w:hAnsi="Georgia"/>
          <w:b/>
          <w:color w:val="111111"/>
          <w:sz w:val="20"/>
        </w:rPr>
        <w:t>30%</w:t>
      </w:r>
      <w:r>
        <w:rPr>
          <w:rFonts w:ascii="Georgia" w:hAnsi="Georgia"/>
          <w:color w:val="333333"/>
          <w:sz w:val="20"/>
        </w:rPr>
        <w:t xml:space="preserve">, by streaming live coordinates from Spring Boot </w:t>
      </w:r>
      <w:r>
        <w:rPr>
          <w:rFonts w:ascii="Georgia" w:hAnsi="Georgia"/>
          <w:b/>
          <w:color w:val="111111"/>
          <w:sz w:val="20"/>
        </w:rPr>
        <w:t>WebSocket</w:t>
      </w:r>
      <w:r>
        <w:rPr>
          <w:rFonts w:ascii="Georgia" w:hAnsi="Georgia"/>
          <w:color w:val="333333"/>
          <w:sz w:val="20"/>
        </w:rPr>
        <w:t xml:space="preserve"> endpoints into a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Ant Design</w:t>
      </w:r>
      <w:r>
        <w:rPr>
          <w:rFonts w:ascii="Georgia" w:hAnsi="Georgia"/>
          <w:color w:val="333333"/>
          <w:sz w:val="20"/>
        </w:rPr>
        <w:t xml:space="preserve"> map view instead of polling.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Enforced Admin, Supervisor and Employee boundaries across </w:t>
      </w:r>
      <w:r>
        <w:rPr>
          <w:rFonts w:ascii="Georgia" w:hAnsi="Georgia"/>
          <w:b/>
          <w:color w:val="111111"/>
          <w:sz w:val="20"/>
        </w:rPr>
        <w:t>100+ client accounts</w:t>
      </w:r>
      <w:r>
        <w:rPr>
          <w:rFonts w:ascii="Georgia" w:hAnsi="Georgia"/>
          <w:color w:val="333333"/>
          <w:sz w:val="20"/>
        </w:rPr>
        <w:t xml:space="preserve">, by adding </w:t>
      </w:r>
      <w:r>
        <w:rPr>
          <w:rFonts w:ascii="Georgia" w:hAnsi="Georgia"/>
          <w:b/>
          <w:color w:val="111111"/>
          <w:sz w:val="20"/>
        </w:rPr>
        <w:t>Spring Security</w:t>
      </w:r>
      <w:r>
        <w:rPr>
          <w:rFonts w:ascii="Georgia" w:hAnsi="Georgia"/>
          <w:color w:val="333333"/>
          <w:sz w:val="20"/>
        </w:rPr>
        <w:t xml:space="preserve"> method-level authorization and </w:t>
      </w:r>
      <w:r>
        <w:rPr>
          <w:rFonts w:ascii="Georgia" w:hAnsi="Georgia"/>
          <w:b/>
          <w:color w:val="111111"/>
          <w:sz w:val="20"/>
        </w:rPr>
        <w:t>JWT</w:t>
      </w:r>
      <w:r>
        <w:rPr>
          <w:rFonts w:ascii="Georgia" w:hAnsi="Georgia"/>
          <w:color w:val="333333"/>
          <w:sz w:val="20"/>
        </w:rPr>
        <w:t xml:space="preserve"> claims to the operations API.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Enterprise Authentication &amp; Authorization Service</w:t>
              <w:br/>
            </w:r>
            <w:r>
              <w:rPr>
                <w:rFonts w:ascii="Georgia" w:hAnsi="Georgia"/>
                <w:color w:val="333333"/>
                <w:sz w:val="19"/>
              </w:rPr>
              <w:t>Spring Security service handling user registration, password hashing, JWT issuance and validation, and role-mapped access control across protected REST routes.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Java / Spring Boot / Spring Security / JWT / Hibernate / MySQL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Himalayan Edges Commerce Platform</w:t>
              <w:br/>
            </w:r>
            <w:r>
              <w:rPr>
                <w:rFonts w:ascii="Georgia" w:hAnsi="Georgia"/>
                <w:color w:val="333333"/>
                <w:sz w:val="19"/>
              </w:rPr>
              <w:t>PWA-enabled e-commerce platform on Spring Boot REST services with modular controllers and normalized MySQL schemas, load-verified at 500+ concurrent users.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Java / Spring Boot / Spring Data JPA / MySQL / AWS / PWA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Attendance Management &amp; Reporting Platform</w:t>
              <w:br/>
            </w:r>
            <w:r>
              <w:rPr>
                <w:rFonts w:ascii="Georgia" w:hAnsi="Georgia"/>
                <w:color w:val="333333"/>
                <w:sz w:val="19"/>
              </w:rPr>
              <w:t>Spring Boot service exposing REST endpoints for student registration, daily attendance logging, and scheduled Excel report generation, cutting manual record-keeping by 70%.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Java / Spring Boot / Spring Data JPA / MySQL / REST APIs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Wallet &amp; Transaction Ledger Service</w:t>
              <w:br/>
            </w:r>
            <w:r>
              <w:rPr>
                <w:rFonts w:ascii="Georgia" w:hAnsi="Georgia"/>
                <w:color w:val="333333"/>
                <w:sz w:val="19"/>
              </w:rPr>
              <w:t>Wallet and ledger service built on Spring Data JPA and Hibernate, using managed transaction boundaries and indexed MySQL schemas to keep balances consistent under concurrent settlement.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Java / Spring Boot / Spring Data JPA / Hibernate / MySQL / Redis</w:t>
            </w:r>
          </w:p>
        </w:tc>
      </w:tr>
    </w:tbl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EDUCATION</w:t>
      </w:r>
    </w:p>
    <w:p>
      <w:pPr>
        <w:spacing w:before="80" w:after="80"/>
        <w:pBdr>
          <w:bottom w:val="single" w:sz="4" w:space="4" w:color="1A1A1A"/>
        </w:pBdr>
      </w:pPr>
      <w:r>
        <w:rPr>
          <w:rFonts w:ascii="Georgia" w:hAnsi="Georgia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Georgia" w:hAnsi="Georgia"/>
                <w:color w:val="333333"/>
                <w:sz w:val="19"/>
              </w:rPr>
              <w:t>Database Systems &amp; SQL Certification</w:t>
              <w:br/>
              <w:t xml:space="preserve">                        Data Structures &amp; Algorithms Certification</w:t>
              <w:br/>
              <w:t xml:space="preserve">                        IIT Kanpur Cyber Security Certification</w:t>
              <w:br/>
              <w:t xml:space="preserve">                        Advanced MERN Stack Developer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Georgia" w:hAnsi="Georgia"/>
                <w:color w:val="333333"/>
                <w:sz w:val="19"/>
              </w:rPr>
              <w:t>First Class Honors, B.Tech. — top academic rank in cohort.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Georgia" w:hAnsi="Georgia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