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Full Stack Engineer (MERN) | React · Node.js · MongoDB — Payments at 2M+ Users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Caching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Testing, Cloud &amp; Practice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—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500,000+ payment transactions a day for 2 million+ users on India's national e-governance platform.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AEPS and MATM settlement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through peak load, by making the UPI and XML payment path idempotent — request keys, exponential-backoff retries and an automated end-of-day reconciliation job.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</w:t>
            </w:r>
            <w:r>
              <w:rPr>
                <w:rFonts w:ascii="Arial" w:hAnsi="Arial"/>
                <w:b/>
                <w:color w:val="334155"/>
                <w:sz w:val="19"/>
              </w:rPr>
              <w:t>p95 read latency 40%</w:t>
            </w:r>
            <w:r>
              <w:rPr>
                <w:rFonts w:ascii="Arial" w:hAnsi="Arial"/>
                <w:color w:val="334155"/>
                <w:sz w:val="19"/>
              </w:rPr>
              <w:t xml:space="preserve"> on the transaction APIs serving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collapsing N+1 </w:t>
            </w:r>
            <w:r>
              <w:rPr>
                <w:rFonts w:ascii="Arial" w:hAnsi="Arial"/>
                <w:b/>
                <w:color w:val="334155"/>
                <w:sz w:val="19"/>
              </w:rPr>
              <w:t>Mongoose</w:t>
            </w:r>
            <w:r>
              <w:rPr>
                <w:rFonts w:ascii="Arial" w:hAnsi="Arial"/>
                <w:color w:val="334155"/>
                <w:sz w:val="19"/>
              </w:rPr>
              <w:t xml:space="preserve"> queries into a single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aggregation pipeline and compound-indexing the hot collections.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Streamed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to operations in real time, by building the transaction and geolocation dashboards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over a </w:t>
            </w:r>
            <w:r>
              <w:rPr>
                <w:rFonts w:ascii="Arial" w:hAnsi="Arial"/>
                <w:b/>
                <w:color w:val="334155"/>
                <w:sz w:val="19"/>
              </w:rPr>
              <w:t>WebSocket</w:t>
            </w:r>
            <w:r>
              <w:rPr>
                <w:rFonts w:ascii="Arial" w:hAnsi="Arial"/>
                <w:color w:val="334155"/>
                <w:sz w:val="19"/>
              </w:rPr>
              <w:t xml:space="preserve"> feed with memoised selectors.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decomposing a monolithic e-governance system into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 on the payments API,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access/refresh rotation,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-backed sessions, device binding, RBAC middleware and per-device OTP rate limiting.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Retired manual releases across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platforms, by containerising the services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 and gating every merge on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 running </w:t>
            </w:r>
            <w:r>
              <w:rPr>
                <w:rFonts w:ascii="Arial" w:hAnsi="Arial"/>
                <w:b/>
                <w:color w:val="334155"/>
                <w:sz w:val="19"/>
              </w:rPr>
              <w:t>Jest</w:t>
            </w:r>
            <w:r>
              <w:rPr>
                <w:rFonts w:ascii="Arial" w:hAnsi="Arial"/>
                <w:color w:val="334155"/>
                <w:sz w:val="19"/>
              </w:rPr>
              <w:t xml:space="preserve"> unit and </w:t>
            </w:r>
            <w:r>
              <w:rPr>
                <w:rFonts w:ascii="Arial" w:hAnsi="Arial"/>
                <w:b/>
                <w:color w:val="334155"/>
                <w:sz w:val="19"/>
              </w:rPr>
              <w:t>Supertest</w:t>
            </w:r>
            <w:r>
              <w:rPr>
                <w:rFonts w:ascii="Arial" w:hAnsi="Arial"/>
                <w:color w:val="334155"/>
                <w:sz w:val="19"/>
              </w:rPr>
              <w:t xml:space="preserve"> integration suites.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 (Contract)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Independent Client Engagement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field-workforce platform used by </w:t>
            </w:r>
            <w:r>
              <w:rPr>
                <w:rFonts w:ascii="Arial" w:hAnsi="Arial"/>
                <w:b/>
                <w:color w:val="334155"/>
                <w:sz w:val="19"/>
              </w:rPr>
              <w:t>1,000+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— schema design through AWS deployment — on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route-level code splitting of the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map view, virtualising marker rendering and streaming positions over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 instead of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Removed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of redundant API calls, by moving server state onto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 with stale-while-revalidate caching and consolidating client state in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— MERN Commerce PWA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Web SDK &amp; React Widgets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TypeScript / npm workspaces / Webpack / REST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Task Platform — React Web and React Native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React Native / Node.js / Docker / Webpack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Geofencing &amp; Telemetry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WebSockets / MongoDB / Redis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