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left"/>
      </w:pPr>
      <w:r>
        <w:rPr>
          <w:rFonts w:ascii="Arial" w:hAnsi="Arial"/>
          <w:b/>
          <w:color w:val="0C4F6B"/>
          <w:sz w:val="44"/>
        </w:rPr>
        <w:t>Akhilesh Kumar Mishra</w:t>
      </w:r>
    </w:p>
    <w:p>
      <w:pPr>
        <w:spacing w:before="0" w:after="80"/>
        <w:jc w:val="left"/>
      </w:pPr>
      <w:r>
        <w:rPr>
          <w:rFonts w:ascii="Arial" w:hAnsi="Arial"/>
          <w:b/>
          <w:color w:val="0C4F6B"/>
          <w:sz w:val="24"/>
        </w:rPr>
        <w:t>Java Full Stack Developer | Spring Boot · Microservices · REST APIs</w:t>
      </w:r>
    </w:p>
    <w:p>
      <w:pPr>
        <w:spacing w:before="0" w:after="200"/>
        <w:jc w:val="left"/>
      </w:pPr>
      <w:r>
        <w:rPr>
          <w:rFonts w:ascii="Arial" w:hAnsi="Arial"/>
          <w:color w:val="555555"/>
          <w:sz w:val="19"/>
        </w:rPr>
        <w:t>+91 88580 45785   |   makhileshkumar1@gmail.com   |   linkedin.com/in/akhilesh-kumar-mishra   |   github.com/GitHub-akhilesh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PROFILE</w:t>
      </w:r>
    </w:p>
    <w:p>
      <w:pPr>
        <w:spacing w:before="0" w:after="120"/>
        <w:jc w:val="both"/>
      </w:pPr>
      <w:r>
        <w:rPr>
          <w:rFonts w:ascii="Arial" w:hAnsi="Arial"/>
          <w:color w:val="333333"/>
          <w:sz w:val="20"/>
        </w:rPr>
        <w:t>Java full stack developer building secure, high-volume enterprise FinTech systems. Core stack is Spring Boot, Spring Security, Spring Data JPA and Hibernate over MySQL and PostgreSQL, with Kafka for anything that shouldn't block a request. Owns wallet and ledger services settling over 10 billion INR a day, and transaction orchestration holding a 99% success rate across 500,000+ daily transactions. Strong on the unglamorous parts — transaction boundaries, indexing, cache tuning.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CORE TECHNOLOGY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Core Java &amp; Spring </w:t>
      </w:r>
      <w:r>
        <w:rPr>
          <w:rFonts w:ascii="Arial" w:hAnsi="Arial"/>
          <w:color w:val="333333"/>
          <w:sz w:val="20"/>
        </w:rPr>
        <w:t>Core Java &amp; Spring</w:t>
        <w:br/>
        <w:t xml:space="preserve">                    Java, Spring Boot, Spring MVC, Spring Security, Spring Data JPA, Hibernate, Spring Cloud, Microservices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APIs, Security &amp; UI </w:t>
      </w:r>
      <w:r>
        <w:rPr>
          <w:rFonts w:ascii="Arial" w:hAnsi="Arial"/>
          <w:color w:val="333333"/>
          <w:sz w:val="20"/>
        </w:rPr>
        <w:t>APIs, Security &amp; UI</w:t>
        <w:br/>
        <w:t xml:space="preserve">                    RESTful APIs, JWT authentication, RBAC, device binding, API versioning, React.js, JavaScript (ES6+), HTML5, CSS3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Data &amp; Messaging </w:t>
      </w:r>
      <w:r>
        <w:rPr>
          <w:rFonts w:ascii="Arial" w:hAnsi="Arial"/>
          <w:color w:val="333333"/>
          <w:sz w:val="20"/>
        </w:rPr>
        <w:t>Data &amp; Messaging</w:t>
        <w:br/>
        <w:t xml:space="preserve">                    MySQL, PostgreSQL, transaction management, indexing, query tuning, Redis, Apache Kafka</w:t>
      </w:r>
    </w:p>
    <w:p>
      <w:pPr>
        <w:spacing w:before="0" w:after="40"/>
      </w:pPr>
      <w:r>
        <w:rPr>
          <w:rFonts w:ascii="Arial" w:hAnsi="Arial"/>
          <w:b/>
          <w:color w:val="0C4F6B"/>
          <w:sz w:val="20"/>
        </w:rPr>
        <w:t xml:space="preserve">Build &amp; DevOps </w:t>
      </w:r>
      <w:r>
        <w:rPr>
          <w:rFonts w:ascii="Arial" w:hAnsi="Arial"/>
          <w:color w:val="333333"/>
          <w:sz w:val="20"/>
        </w:rPr>
        <w:t>Build &amp; DevOps</w:t>
        <w:br/>
        <w:t xml:space="preserve">                    Maven, Gradle, Git, GitHub, Docker, CI/CD, Postman, Spring Boot Actuator, Prometheus, Grafana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EXPERIENCE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Software Development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CSC e-Governance Services India Ltd. (MeitY, Government of India)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12/2023 – PRESENT   |   New Delhi, India   |   Ministry of Electronics &amp; Information Technology, Govt. of India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Split monolithic e-governance systems into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microservices, improving release speed and fault isolation for </w:t>
      </w:r>
      <w:r>
        <w:rPr>
          <w:rFonts w:ascii="Arial" w:hAnsi="Arial"/>
          <w:b/>
          <w:color w:val="111111"/>
          <w:sz w:val="20"/>
        </w:rPr>
        <w:t>2 million+ users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Ran AEPS, MATM and VATM transaction orchestration on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at a </w:t>
      </w:r>
      <w:r>
        <w:rPr>
          <w:rFonts w:ascii="Arial" w:hAnsi="Arial"/>
          <w:b/>
          <w:color w:val="111111"/>
          <w:sz w:val="20"/>
        </w:rPr>
        <w:t>99% success rate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500,000+ daily transactions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Cut unauthorized access attempts </w:t>
      </w:r>
      <w:r>
        <w:rPr>
          <w:rFonts w:ascii="Arial" w:hAnsi="Arial"/>
          <w:b/>
          <w:color w:val="111111"/>
          <w:sz w:val="20"/>
        </w:rPr>
        <w:t>99.9%</w:t>
      </w:r>
      <w:r>
        <w:rPr>
          <w:rFonts w:ascii="Arial" w:hAnsi="Arial"/>
          <w:color w:val="333333"/>
          <w:sz w:val="20"/>
        </w:rPr>
        <w:t xml:space="preserve"> with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: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RBAC</w:t>
      </w:r>
      <w:r>
        <w:rPr>
          <w:rFonts w:ascii="Arial" w:hAnsi="Arial"/>
          <w:color w:val="333333"/>
          <w:sz w:val="20"/>
        </w:rPr>
        <w:t>, device binding and OTP retry limits.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the wallet and ledger services on </w:t>
      </w:r>
      <w:r>
        <w:rPr>
          <w:rFonts w:ascii="Arial" w:hAnsi="Arial"/>
          <w:b/>
          <w:color w:val="111111"/>
          <w:sz w:val="20"/>
        </w:rPr>
        <w:t>Spring Data JPA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Hibernate</w:t>
      </w:r>
      <w:r>
        <w:rPr>
          <w:rFonts w:ascii="Arial" w:hAnsi="Arial"/>
          <w:color w:val="333333"/>
          <w:sz w:val="20"/>
        </w:rPr>
        <w:t xml:space="preserve"> — over </w:t>
      </w:r>
      <w:r>
        <w:rPr>
          <w:rFonts w:ascii="Arial" w:hAnsi="Arial"/>
          <w:b/>
          <w:color w:val="111111"/>
          <w:sz w:val="20"/>
        </w:rPr>
        <w:t>10 billion INR</w:t>
      </w:r>
      <w:r>
        <w:rPr>
          <w:rFonts w:ascii="Arial" w:hAnsi="Arial"/>
          <w:color w:val="333333"/>
          <w:sz w:val="20"/>
        </w:rPr>
        <w:t xml:space="preserve"> settled daily, and balances that reconcile.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Dropped read/write latency </w:t>
      </w:r>
      <w:r>
        <w:rPr>
          <w:rFonts w:ascii="Arial" w:hAnsi="Arial"/>
          <w:b/>
          <w:color w:val="111111"/>
          <w:sz w:val="20"/>
        </w:rPr>
        <w:t>45%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MySQL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PostgreSQL</w:t>
      </w:r>
      <w:r>
        <w:rPr>
          <w:rFonts w:ascii="Arial" w:hAnsi="Arial"/>
          <w:color w:val="333333"/>
          <w:sz w:val="20"/>
        </w:rPr>
        <w:t xml:space="preserve"> through indexing and cache tuning.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Moved inter-service communication onto </w:t>
      </w:r>
      <w:r>
        <w:rPr>
          <w:rFonts w:ascii="Arial" w:hAnsi="Arial"/>
          <w:b/>
          <w:color w:val="111111"/>
          <w:sz w:val="20"/>
        </w:rPr>
        <w:t>Apache Kafka</w:t>
      </w:r>
      <w:r>
        <w:rPr>
          <w:rFonts w:ascii="Arial" w:hAnsi="Arial"/>
          <w:color w:val="333333"/>
          <w:sz w:val="20"/>
        </w:rPr>
        <w:t xml:space="preserve">, lifting async throughput </w:t>
      </w:r>
      <w:r>
        <w:rPr>
          <w:rFonts w:ascii="Arial" w:hAnsi="Arial"/>
          <w:b/>
          <w:color w:val="111111"/>
          <w:sz w:val="20"/>
        </w:rPr>
        <w:t>35%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120" w:after="20"/>
      </w:pPr>
      <w:r>
        <w:rPr>
          <w:rFonts w:ascii="Arial" w:hAnsi="Arial"/>
          <w:b/>
          <w:color w:val="1A1A1A"/>
          <w:sz w:val="21"/>
        </w:rPr>
        <w:t>Freelance Software Engineer</w:t>
      </w:r>
      <w:r>
        <w:t xml:space="preserve">   |   </w:t>
      </w:r>
      <w:r>
        <w:rPr>
          <w:rFonts w:ascii="Arial" w:hAnsi="Arial"/>
          <w:b/>
          <w:color w:val="0056B3"/>
          <w:sz w:val="21"/>
        </w:rPr>
        <w:t>Workforce Telemetry &amp; Operations</w:t>
      </w:r>
    </w:p>
    <w:p>
      <w:pPr>
        <w:keepNext/>
        <w:spacing w:before="0" w:after="60"/>
      </w:pPr>
      <w:r>
        <w:rPr>
          <w:rFonts w:ascii="Arial" w:hAnsi="Arial"/>
          <w:i/>
          <w:color w:val="555555"/>
          <w:sz w:val="19"/>
        </w:rPr>
        <w:t>06/2023 – 11/2023   |   Remote, India   |   Real-Time Telemetry &amp; Geofencing Platform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Built a workforce tracking platform on </w:t>
      </w:r>
      <w:r>
        <w:rPr>
          <w:rFonts w:ascii="Arial" w:hAnsi="Arial"/>
          <w:b/>
          <w:color w:val="111111"/>
          <w:sz w:val="20"/>
        </w:rPr>
        <w:t>Java</w:t>
      </w:r>
      <w:r>
        <w:rPr>
          <w:rFonts w:ascii="Arial" w:hAnsi="Arial"/>
          <w:color w:val="333333"/>
          <w:sz w:val="20"/>
        </w:rPr>
        <w:t xml:space="preserve">, </w:t>
      </w:r>
      <w:r>
        <w:rPr>
          <w:rFonts w:ascii="Arial" w:hAnsi="Arial"/>
          <w:b/>
          <w:color w:val="111111"/>
          <w:sz w:val="20"/>
        </w:rPr>
        <w:t>Spring Boot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for </w:t>
      </w:r>
      <w:r>
        <w:rPr>
          <w:rFonts w:ascii="Arial" w:hAnsi="Arial"/>
          <w:b/>
          <w:color w:val="111111"/>
          <w:sz w:val="20"/>
        </w:rPr>
        <w:t>1,000+ field agents</w:t>
      </w:r>
      <w:r>
        <w:rPr>
          <w:rFonts w:ascii="Arial" w:hAnsi="Arial"/>
          <w:color w:val="333333"/>
          <w:sz w:val="20"/>
        </w:rPr>
        <w:t>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Streamed live coordinates from Spring Boot WebSocket endpoints into a </w:t>
      </w:r>
      <w:r>
        <w:rPr>
          <w:rFonts w:ascii="Arial" w:hAnsi="Arial"/>
          <w:b/>
          <w:color w:val="111111"/>
          <w:sz w:val="20"/>
        </w:rPr>
        <w:t>React.js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Ant Design</w:t>
      </w:r>
      <w:r>
        <w:rPr>
          <w:rFonts w:ascii="Arial" w:hAnsi="Arial"/>
          <w:color w:val="333333"/>
          <w:sz w:val="20"/>
        </w:rPr>
        <w:t xml:space="preserve"> dashboard, </w:t>
      </w:r>
      <w:r>
        <w:rPr>
          <w:rFonts w:ascii="Arial" w:hAnsi="Arial"/>
          <w:b/>
          <w:color w:val="111111"/>
          <w:sz w:val="20"/>
        </w:rPr>
        <w:t>30%</w:t>
      </w:r>
      <w:r>
        <w:rPr>
          <w:rFonts w:ascii="Arial" w:hAnsi="Arial"/>
          <w:color w:val="333333"/>
          <w:sz w:val="20"/>
        </w:rPr>
        <w:t xml:space="preserve"> quicker to load than the first cut.</w:t>
      </w:r>
    </w:p>
    <w:p>
      <w:pPr>
        <w:pStyle w:val="ListBullet"/>
        <w:spacing w:before="0" w:after="40"/>
        <w:ind w:left="288"/>
      </w:pPr>
      <w:r>
        <w:rPr>
          <w:rFonts w:ascii="Arial" w:hAnsi="Arial"/>
          <w:color w:val="333333"/>
          <w:sz w:val="20"/>
        </w:rPr>
        <w:t xml:space="preserve">Enforced Admin, Supervisor and Employee boundaries on the operations API with </w:t>
      </w:r>
      <w:r>
        <w:rPr>
          <w:rFonts w:ascii="Arial" w:hAnsi="Arial"/>
          <w:b/>
          <w:color w:val="111111"/>
          <w:sz w:val="20"/>
        </w:rPr>
        <w:t>Spring Security</w:t>
      </w:r>
      <w:r>
        <w:rPr>
          <w:rFonts w:ascii="Arial" w:hAnsi="Arial"/>
          <w:color w:val="333333"/>
          <w:sz w:val="20"/>
        </w:rPr>
        <w:t xml:space="preserve"> and </w:t>
      </w:r>
      <w:r>
        <w:rPr>
          <w:rFonts w:ascii="Arial" w:hAnsi="Arial"/>
          <w:b/>
          <w:color w:val="111111"/>
          <w:sz w:val="20"/>
        </w:rPr>
        <w:t>JWT</w:t>
      </w:r>
      <w:r>
        <w:rPr>
          <w:rFonts w:ascii="Arial" w:hAnsi="Arial"/>
          <w:color w:val="333333"/>
          <w:sz w:val="20"/>
        </w:rPr>
        <w:t xml:space="preserve"> across </w:t>
      </w:r>
      <w:r>
        <w:rPr>
          <w:rFonts w:ascii="Arial" w:hAnsi="Arial"/>
          <w:b/>
          <w:color w:val="111111"/>
          <w:sz w:val="20"/>
        </w:rPr>
        <w:t>100+ client accounts</w:t>
      </w:r>
      <w:r>
        <w:rPr>
          <w:rFonts w:ascii="Arial" w:hAnsi="Arial"/>
          <w:color w:val="333333"/>
          <w:sz w:val="20"/>
        </w:rPr>
        <w:t>.</w:t>
      </w:r>
    </w:p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SELECTED PROJECTS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Enterprise Authentication &amp; Authorization Service\n</w:t>
            </w:r>
            <w:r>
              <w:rPr>
                <w:rFonts w:ascii="Arial" w:hAnsi="Arial"/>
                <w:color w:val="333333"/>
                <w:sz w:val="19"/>
              </w:rPr>
              <w:t>Spring Security service handling user registration, password hashing, JWT issuance and validation, and role-mapped access control across protected REST routes.\n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Security / JWT / Hibernate / MySQL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Himalayan Edges Commerce Platform\n</w:t>
            </w:r>
            <w:r>
              <w:rPr>
                <w:rFonts w:ascii="Arial" w:hAnsi="Arial"/>
                <w:color w:val="333333"/>
                <w:sz w:val="19"/>
              </w:rPr>
              <w:t>PWA-enabled e-commerce platform on Spring Boot REST services with modular controllers and normalized MySQL schemas, load-verified at 500+ concurrent users.\n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Data JPA / MySQL / AWS / PWA</w:t>
            </w:r>
          </w:p>
        </w:tc>
      </w:tr>
      <w:tr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Attendance Management &amp; Reporting Platform\n</w:t>
            </w:r>
            <w:r>
              <w:rPr>
                <w:rFonts w:ascii="Arial" w:hAnsi="Arial"/>
                <w:color w:val="333333"/>
                <w:sz w:val="19"/>
              </w:rPr>
              <w:t>Spring Boot service exposing REST endpoints for student registration, daily attendance logging, and scheduled Excel report generation, cutting manual record-keeping by 70%.\n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Data JPA / MySQL / REST APIs</w:t>
            </w:r>
          </w:p>
        </w:tc>
        <w:tc>
          <w:tcPr>
            <w:tcW w:type="dxa" w:w="5400"/>
          </w:tcPr>
          <w:p>
            <w:pPr>
              <w:spacing w:before="0" w:after="0"/>
            </w:pPr>
          </w:p>
          <w:p>
            <w:pPr>
              <w:spacing w:before="120" w:after="120"/>
            </w:pPr>
            <w:r>
              <w:rPr>
                <w:rFonts w:ascii="Arial" w:hAnsi="Arial"/>
                <w:b/>
                <w:color w:val="1A1A1A"/>
                <w:sz w:val="21"/>
              </w:rPr>
              <w:t>Wallet &amp; Transaction Ledger Service\n</w:t>
            </w:r>
            <w:r>
              <w:rPr>
                <w:rFonts w:ascii="Arial" w:hAnsi="Arial"/>
                <w:color w:val="333333"/>
                <w:sz w:val="19"/>
              </w:rPr>
              <w:t>Wallet and ledger service built on Spring Data JPA and Hibernate, using managed transaction boundaries and indexed MySQL schemas to keep balances consistent under concurrent settlement.\n</w:t>
            </w:r>
            <w:r>
              <w:rPr>
                <w:rFonts w:ascii="Arial" w:hAnsi="Arial"/>
                <w:i/>
                <w:color w:val="718096"/>
                <w:sz w:val="17"/>
              </w:rPr>
              <w:t>STACK: Java / Spring Boot / Spring Data JPA / Hibernate / MySQL / Redis</w:t>
            </w:r>
          </w:p>
        </w:tc>
      </w:tr>
    </w:tbl>
    <w:p>
      <w:pPr>
        <w:keepNext/>
        <w:spacing w:before="240" w:after="80"/>
        <w:pBdr>
          <w:bottom w:val="single" w:sz="8" w:space="4" w:color="0C4F6B"/>
        </w:pBdr>
      </w:pPr>
      <w:r>
        <w:rPr>
          <w:rFonts w:ascii="Arial" w:hAnsi="Arial"/>
          <w:b/>
          <w:color w:val="0C4F6B"/>
          <w:sz w:val="23"/>
        </w:rPr>
        <w:t>EDUCATION</w:t>
      </w:r>
    </w:p>
    <w:p>
      <w:pPr>
        <w:spacing w:before="80" w:after="80"/>
        <w:shd w:fill="F0F6F9"/>
        <w:pBdr>
          <w:bottom w:val="single" w:sz="4" w:space="4" w:color="0C4F6B"/>
        </w:pBdr>
      </w:pPr>
      <w:r>
        <w:rPr>
          <w:rFonts w:ascii="Arial" w:hAnsi="Arial"/>
          <w:b/>
          <w:color w:val="1A1A1A"/>
          <w:sz w:val="20"/>
        </w:rPr>
        <w:t>Bachelor of Technology (B.Tech.) | Kanpur Institute of Technology, Kanpur, UP   |   2019 - 2023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CERTIFICATIONS</w:t>
            </w:r>
          </w:p>
          <w:p>
            <w:pPr>
              <w:spacing w:before="0" w:after="40"/>
            </w:pPr>
            <w:r>
              <w:rPr>
                <w:rFonts w:ascii="Arial" w:hAnsi="Arial"/>
                <w:color w:val="333333"/>
                <w:sz w:val="19"/>
              </w:rPr>
              <w:t>Database Systems &amp; SQL Certification</w:t>
              <w:br/>
              <w:t xml:space="preserve">                        Data Structures &amp; Algorithms Certification</w:t>
              <w:br/>
              <w:t xml:space="preserve">                        IIT Kanpur Cyber Security Certification</w:t>
              <w:br/>
              <w:t xml:space="preserve">                        Advanced MERN Stack Developer Certification</w:t>
            </w:r>
          </w:p>
        </w:tc>
        <w:tc>
          <w:tcPr>
            <w:tcW w:type="dxa" w:w="5400"/>
          </w:tcPr>
          <w:p>
            <w:pPr>
              <w:spacing w:before="160" w:after="80"/>
              <w:pBdr>
                <w:bottom w:val="single" w:sz="6" w:space="4" w:color="0C4F6B"/>
              </w:pBdr>
            </w:pPr>
            <w:r>
              <w:rPr>
                <w:rFonts w:ascii="Arial" w:hAnsi="Arial"/>
                <w:b/>
                <w:color w:val="0C4F6B"/>
                <w:sz w:val="22"/>
              </w:rPr>
              <w:t>ACHIEVEMENTS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Graduated with First Class Honors, maintaining top academic rank.</w:t>
            </w:r>
          </w:p>
          <w:p>
            <w:pPr>
              <w:pStyle w:val="ListBullet"/>
              <w:spacing w:before="0" w:after="40"/>
              <w:ind w:left="288"/>
            </w:pPr>
            <w:r>
              <w:rPr>
                <w:rFonts w:ascii="Arial" w:hAnsi="Arial"/>
                <w:color w:val="333333"/>
                <w:sz w:val="19"/>
              </w:rPr>
              <w:t>Earned a 4-Star Gold Badge in SQL on HackerRank.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