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utoSpaceDE/>
        <w:autoSpaceDN/>
        <w:snapToGrid w:val="0"/>
        <w:spacing w:before="0" w:after="0" w:line="360" w:lineRule="auto"/>
        <w:ind w:left="0" w:firstLine="1050" w:firstLineChars="500"/>
        <w:jc w:val="both"/>
        <w:rPr>
          <w:rFonts w:hint="eastAsia" w:ascii="黑体" w:hAnsi="黑体" w:eastAsia="黑体" w:cs="黑体"/>
          <w:w w:val="100"/>
          <w:sz w:val="36"/>
        </w:rPr>
      </w:pPr>
      <w:r>
        <w:rPr>
          <w:rFonts w:hint="eastAsia" w:ascii="黑体" w:hAnsi="黑体" w:eastAsia="黑体" w:cs="黑体"/>
          <w:lang w:val="en-US" w:eastAsia="zh-CN"/>
        </w:rPr>
        <w:t xml:space="preserve">           </w:t>
      </w:r>
      <w:r>
        <w:rPr>
          <w:rFonts w:hint="eastAsia" w:ascii="黑体" w:hAnsi="黑体" w:eastAsia="黑体" w:cs="黑体"/>
          <w:w w:val="100"/>
          <w:sz w:val="36"/>
          <w:lang w:eastAsia="zh-CN"/>
        </w:rPr>
        <w:t>上海市闵行区启音学校</w:t>
      </w:r>
    </w:p>
    <w:p>
      <w:pPr>
        <w:widowControl/>
        <w:autoSpaceDE/>
        <w:autoSpaceDN/>
        <w:snapToGrid w:val="0"/>
        <w:spacing w:before="0" w:after="0" w:line="360" w:lineRule="auto"/>
        <w:ind w:left="0" w:firstLine="0"/>
        <w:jc w:val="center"/>
        <w:rPr>
          <w:rFonts w:ascii="宋体" w:hAnsi="宋体" w:eastAsia="宋体"/>
          <w:w w:val="100"/>
          <w:sz w:val="24"/>
        </w:rPr>
      </w:pP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2024  </w:t>
      </w:r>
      <w:r>
        <w:rPr>
          <w:rFonts w:hint="eastAsia" w:ascii="宋体" w:hAnsi="宋体" w:eastAsia="宋体"/>
          <w:w w:val="100"/>
          <w:sz w:val="24"/>
          <w:lang w:eastAsia="zh-CN"/>
        </w:rPr>
        <w:t>学年度    第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2  </w:t>
      </w:r>
      <w:r>
        <w:rPr>
          <w:rFonts w:hint="eastAsia" w:ascii="宋体" w:hAnsi="宋体" w:eastAsia="宋体"/>
          <w:w w:val="100"/>
          <w:sz w:val="24"/>
          <w:lang w:eastAsia="zh-CN"/>
        </w:rPr>
        <w:t xml:space="preserve">学期  </w:t>
      </w:r>
      <w:r>
        <w:rPr>
          <w:rFonts w:ascii="Times New Roman" w:hAnsi="Times New Roman" w:eastAsia="宋体"/>
          <w:w w:val="100"/>
          <w:sz w:val="24"/>
        </w:rPr>
        <w:t xml:space="preserve"> </w:t>
      </w:r>
      <w:r>
        <w:rPr>
          <w:rFonts w:hint="eastAsia" w:ascii="Times New Roman" w:hAnsi="Times New Roman" w:eastAsia="宋体"/>
          <w:w w:val="100"/>
          <w:sz w:val="24"/>
          <w:u w:val="single"/>
          <w:lang w:val="en-US" w:eastAsia="zh-CN"/>
        </w:rPr>
        <w:t xml:space="preserve"> 信息技术  </w:t>
      </w:r>
      <w:r>
        <w:rPr>
          <w:rFonts w:hint="eastAsia" w:ascii="宋体" w:hAnsi="宋体" w:eastAsia="宋体"/>
          <w:w w:val="100"/>
          <w:sz w:val="24"/>
          <w:lang w:eastAsia="zh-CN"/>
        </w:rPr>
        <w:t>学科质量分析</w:t>
      </w:r>
    </w:p>
    <w:p>
      <w:pPr>
        <w:autoSpaceDE/>
        <w:autoSpaceDN/>
        <w:snapToGrid w:val="0"/>
        <w:spacing w:before="0" w:after="0" w:line="360" w:lineRule="auto"/>
        <w:ind w:left="0" w:firstLine="0"/>
        <w:jc w:val="center"/>
        <w:rPr>
          <w:rFonts w:hint="eastAsia" w:ascii="宋体" w:hAnsi="宋体" w:eastAsia="宋体"/>
          <w:w w:val="100"/>
          <w:sz w:val="24"/>
          <w:lang w:eastAsia="zh-CN"/>
        </w:rPr>
      </w:pP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九 </w:t>
      </w:r>
      <w:r>
        <w:rPr>
          <w:rFonts w:hint="eastAsia" w:ascii="宋体" w:hAnsi="宋体" w:eastAsia="宋体"/>
          <w:w w:val="100"/>
          <w:sz w:val="24"/>
          <w:lang w:eastAsia="zh-CN"/>
        </w:rPr>
        <w:t>年级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1\2  </w:t>
      </w:r>
      <w:r>
        <w:rPr>
          <w:rFonts w:hint="eastAsia" w:ascii="宋体" w:hAnsi="宋体" w:eastAsia="宋体"/>
          <w:w w:val="100"/>
          <w:sz w:val="24"/>
          <w:lang w:eastAsia="zh-CN"/>
        </w:rPr>
        <w:t>班    任课教师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 戴意芳  </w:t>
      </w:r>
      <w:r>
        <w:rPr>
          <w:rFonts w:ascii="Times New Roman" w:hAnsi="Times New Roman" w:eastAsia="宋体"/>
          <w:w w:val="100"/>
          <w:sz w:val="24"/>
        </w:rPr>
        <w:t xml:space="preserve">  </w:t>
      </w:r>
      <w:r>
        <w:rPr>
          <w:rFonts w:hint="eastAsia" w:ascii="Times New Roman" w:hAnsi="Times New Roman" w:eastAsia="宋体"/>
          <w:w w:val="100"/>
          <w:sz w:val="24"/>
          <w:lang w:val="en-US" w:eastAsia="zh-CN"/>
        </w:rPr>
        <w:t xml:space="preserve">  </w:t>
      </w:r>
      <w:r>
        <w:rPr>
          <w:rFonts w:hint="eastAsia" w:ascii="宋体" w:hAnsi="宋体" w:eastAsia="宋体"/>
          <w:w w:val="100"/>
          <w:sz w:val="24"/>
          <w:lang w:eastAsia="zh-CN"/>
        </w:rPr>
        <w:t>填表日期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2024  </w:t>
      </w:r>
      <w:r>
        <w:rPr>
          <w:rFonts w:hint="eastAsia" w:ascii="宋体" w:hAnsi="宋体" w:eastAsia="宋体"/>
          <w:w w:val="100"/>
          <w:sz w:val="24"/>
          <w:lang w:eastAsia="zh-CN"/>
        </w:rPr>
        <w:t>年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6 </w:t>
      </w:r>
      <w:r>
        <w:rPr>
          <w:rFonts w:hint="eastAsia" w:ascii="宋体" w:hAnsi="宋体" w:eastAsia="宋体"/>
          <w:w w:val="100"/>
          <w:sz w:val="24"/>
          <w:lang w:eastAsia="zh-CN"/>
        </w:rPr>
        <w:t>月</w:t>
      </w:r>
      <w:r>
        <w:rPr>
          <w:rFonts w:hint="eastAsia" w:ascii="宋体" w:hAnsi="宋体" w:eastAsia="宋体"/>
          <w:w w:val="100"/>
          <w:sz w:val="24"/>
          <w:u w:val="single"/>
          <w:lang w:val="en-US" w:eastAsia="zh-CN"/>
        </w:rPr>
        <w:t xml:space="preserve"> 14</w:t>
      </w:r>
      <w:r>
        <w:rPr>
          <w:rFonts w:hint="eastAsia" w:ascii="宋体" w:hAnsi="宋体" w:eastAsia="宋体"/>
          <w:w w:val="100"/>
          <w:sz w:val="24"/>
          <w:lang w:eastAsia="zh-CN"/>
        </w:rPr>
        <w:t>日</w:t>
      </w:r>
    </w:p>
    <w:p>
      <w:pPr>
        <w:autoSpaceDE/>
        <w:autoSpaceDN/>
        <w:snapToGrid w:val="0"/>
        <w:spacing w:before="0" w:after="0" w:line="360" w:lineRule="auto"/>
        <w:ind w:left="0" w:firstLine="0"/>
        <w:jc w:val="both"/>
        <w:rPr>
          <w:rFonts w:hint="default" w:ascii="宋体" w:hAnsi="宋体" w:eastAsia="宋体"/>
          <w:w w:val="100"/>
          <w:sz w:val="24"/>
          <w:lang w:val="en-US" w:eastAsia="zh-CN"/>
        </w:rPr>
      </w:pPr>
    </w:p>
    <w:p>
      <w:pPr>
        <w:autoSpaceDE/>
        <w:autoSpaceDN/>
        <w:snapToGrid w:val="0"/>
        <w:spacing w:before="0" w:after="0" w:line="360" w:lineRule="auto"/>
        <w:ind w:left="0" w:firstLine="0"/>
        <w:jc w:val="center"/>
        <w:rPr>
          <w:rFonts w:hint="default" w:ascii="宋体" w:hAnsi="宋体" w:eastAsia="宋体"/>
          <w:w w:val="100"/>
          <w:sz w:val="24"/>
          <w:lang w:val="en-US" w:eastAsia="zh-CN"/>
        </w:rPr>
      </w:pPr>
      <w:r>
        <w:rPr>
          <w:rFonts w:hint="eastAsia" w:ascii="宋体" w:hAnsi="宋体" w:eastAsia="宋体"/>
          <w:b/>
          <w:bCs/>
          <w:w w:val="100"/>
          <w:sz w:val="28"/>
          <w:szCs w:val="28"/>
          <w:lang w:val="en-US" w:eastAsia="zh-CN"/>
        </w:rPr>
        <w:t>一、成绩整体情况</w:t>
      </w:r>
    </w:p>
    <w:tbl>
      <w:tblPr>
        <w:tblStyle w:val="5"/>
        <w:tblW w:w="925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1"/>
        <w:gridCol w:w="471"/>
        <w:gridCol w:w="471"/>
        <w:gridCol w:w="408"/>
        <w:gridCol w:w="308"/>
        <w:gridCol w:w="805"/>
        <w:gridCol w:w="237"/>
        <w:gridCol w:w="568"/>
        <w:gridCol w:w="1"/>
        <w:gridCol w:w="781"/>
        <w:gridCol w:w="23"/>
        <w:gridCol w:w="805"/>
        <w:gridCol w:w="2"/>
        <w:gridCol w:w="520"/>
        <w:gridCol w:w="283"/>
        <w:gridCol w:w="805"/>
        <w:gridCol w:w="3"/>
        <w:gridCol w:w="259"/>
        <w:gridCol w:w="543"/>
        <w:gridCol w:w="81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0" w:hRule="atLeast"/>
          <w:jc w:val="center"/>
        </w:trPr>
        <w:tc>
          <w:tcPr>
            <w:tcW w:w="1151" w:type="dxa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1"/>
              </w:rPr>
            </w:pPr>
            <w:r>
              <w:rPr>
                <w:rFonts w:hint="eastAsia" w:ascii="宋体" w:hAnsi="宋体" w:eastAsia="宋体"/>
                <w:w w:val="100"/>
                <w:sz w:val="21"/>
                <w:lang w:eastAsia="zh-CN"/>
              </w:rPr>
              <w:t>项    目</w:t>
            </w:r>
          </w:p>
        </w:tc>
        <w:tc>
          <w:tcPr>
            <w:tcW w:w="4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班级</w:t>
            </w:r>
            <w:r>
              <w:rPr>
                <w:rFonts w:ascii="Times New Roman" w:hAnsi="Times New Roman" w:eastAsia="宋体"/>
                <w:w w:val="100"/>
                <w:sz w:val="20"/>
              </w:rPr>
              <w:t xml:space="preserve">    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人数</w:t>
            </w:r>
          </w:p>
        </w:tc>
        <w:tc>
          <w:tcPr>
            <w:tcW w:w="471" w:type="dxa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实考</w:t>
            </w:r>
            <w:r>
              <w:rPr>
                <w:rFonts w:ascii="Times New Roman" w:hAnsi="Times New Roman" w:eastAsia="宋体"/>
                <w:w w:val="100"/>
                <w:sz w:val="20"/>
              </w:rPr>
              <w:t xml:space="preserve">    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人数</w:t>
            </w:r>
          </w:p>
        </w:tc>
        <w:tc>
          <w:tcPr>
            <w:tcW w:w="716" w:type="dxa"/>
            <w:gridSpan w:val="2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总评</w:t>
            </w: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both"/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</w:pP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200" w:firstLineChars="100"/>
              <w:jc w:val="both"/>
              <w:rPr>
                <w:rFonts w:hint="default" w:ascii="Times New Roman" w:hAnsi="Times New Roman" w:eastAsia="宋体"/>
                <w:w w:val="100"/>
                <w:sz w:val="20"/>
                <w:lang w:val="en-US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A（85~100）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B（75~</w:t>
            </w:r>
            <w:r>
              <w:rPr>
                <w:rFonts w:ascii="Times New Roman" w:hAnsi="Times New Roman" w:eastAsia="宋体"/>
                <w:w w:val="100"/>
                <w:sz w:val="20"/>
              </w:rPr>
              <w:t>8</w:t>
            </w: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4</w:t>
            </w:r>
            <w:r>
              <w:rPr>
                <w:rFonts w:hint="eastAsia" w:ascii="宋体" w:hAnsi="宋体" w:eastAsia="宋体"/>
                <w:w w:val="100"/>
                <w:sz w:val="20"/>
                <w:lang w:eastAsia="zh-CN"/>
              </w:rPr>
              <w:t>）</w:t>
            </w:r>
          </w:p>
        </w:tc>
        <w:tc>
          <w:tcPr>
            <w:tcW w:w="1611" w:type="dxa"/>
            <w:gridSpan w:val="4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C（60~</w:t>
            </w:r>
            <w:r>
              <w:rPr>
                <w:rFonts w:ascii="Times New Roman" w:hAnsi="Times New Roman" w:eastAsia="宋体"/>
                <w:w w:val="100"/>
                <w:sz w:val="20"/>
              </w:rPr>
              <w:t>7</w:t>
            </w:r>
            <w:r>
              <w:rPr>
                <w:rFonts w:hint="eastAsia" w:ascii="Times New Roman" w:hAnsi="Times New Roman" w:eastAsia="宋体"/>
                <w:w w:val="100"/>
                <w:sz w:val="20"/>
                <w:lang w:val="en-US" w:eastAsia="zh-CN"/>
              </w:rPr>
              <w:t>4）</w:t>
            </w:r>
          </w:p>
        </w:tc>
        <w:tc>
          <w:tcPr>
            <w:tcW w:w="1613" w:type="dxa"/>
            <w:gridSpan w:val="3"/>
            <w:tcBorders>
              <w:top w:val="single" w:color="000000" w:sz="12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D（60分以下）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  <w:jc w:val="center"/>
        </w:trPr>
        <w:tc>
          <w:tcPr>
            <w:tcW w:w="1151" w:type="dxa"/>
            <w:vMerge w:val="restart"/>
            <w:tcBorders>
              <w:top w:val="single" w:color="000000" w:sz="6" w:space="0"/>
              <w:left w:val="single" w:color="000000" w:sz="12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1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1"/>
                <w:lang w:eastAsia="zh-CN"/>
              </w:rPr>
              <w:t>总体情况</w:t>
            </w:r>
          </w:p>
        </w:tc>
        <w:tc>
          <w:tcPr>
            <w:tcW w:w="47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471" w:type="dxa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ascii="宋体" w:hAnsi="宋体" w:eastAsia="宋体"/>
                <w:w w:val="100"/>
                <w:sz w:val="20"/>
              </w:rPr>
            </w:pPr>
          </w:p>
        </w:tc>
        <w:tc>
          <w:tcPr>
            <w:tcW w:w="716" w:type="dxa"/>
            <w:gridSpan w:val="2"/>
            <w:vMerge w:val="restart"/>
            <w:tcBorders>
              <w:top w:val="single" w:color="000000" w:sz="6" w:space="0"/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人</w:t>
            </w: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%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8" w:hRule="atLeast"/>
          <w:jc w:val="center"/>
        </w:trPr>
        <w:tc>
          <w:tcPr>
            <w:tcW w:w="1151" w:type="dxa"/>
            <w:vMerge w:val="continue"/>
            <w:tcBorders>
              <w:left w:val="single" w:color="000000" w:sz="12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4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471" w:type="dxa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716" w:type="dxa"/>
            <w:gridSpan w:val="2"/>
            <w:vMerge w:val="continue"/>
            <w:tcBorders>
              <w:left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0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  <w:bookmarkStart w:id="0" w:name="_GoBack"/>
            <w:bookmarkEnd w:id="0"/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05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  <w:tc>
          <w:tcPr>
            <w:tcW w:w="81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leftChars="0" w:firstLine="0" w:firstLineChars="0"/>
              <w:jc w:val="center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  <w:jc w:val="center"/>
        </w:trPr>
        <w:tc>
          <w:tcPr>
            <w:tcW w:w="1151" w:type="dxa"/>
            <w:vMerge w:val="continue"/>
            <w:tcBorders>
              <w:left w:val="single" w:color="000000" w:sz="12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</w:pP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优良率</w:t>
            </w:r>
          </w:p>
          <w:p>
            <w:pPr>
              <w:widowControl/>
              <w:autoSpaceDE/>
              <w:autoSpaceDN/>
              <w:snapToGrid/>
              <w:spacing w:before="0" w:after="0" w:line="240" w:lineRule="auto"/>
              <w:ind w:left="0" w:firstLine="0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（A+B）</w:t>
            </w: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350" w:type="dxa"/>
            <w:gridSpan w:val="3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及格率</w:t>
            </w:r>
          </w:p>
        </w:tc>
        <w:tc>
          <w:tcPr>
            <w:tcW w:w="1350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  <w:tc>
          <w:tcPr>
            <w:tcW w:w="1350" w:type="dxa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default" w:ascii="宋体" w:hAnsi="宋体" w:eastAsia="宋体"/>
                <w:w w:val="100"/>
                <w:sz w:val="20"/>
                <w:lang w:val="en-US" w:eastAsia="zh-CN"/>
              </w:rPr>
            </w:pPr>
            <w:r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  <w:t>不及格率</w:t>
            </w:r>
          </w:p>
        </w:tc>
        <w:tc>
          <w:tcPr>
            <w:tcW w:w="1354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12" w:space="0"/>
            </w:tcBorders>
            <w:noWrap w:val="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widowControl/>
              <w:autoSpaceDE/>
              <w:autoSpaceDN/>
              <w:snapToGrid/>
              <w:spacing w:before="0" w:after="0" w:line="240" w:lineRule="auto"/>
              <w:jc w:val="center"/>
              <w:rPr>
                <w:rFonts w:hint="eastAsia" w:ascii="宋体" w:hAnsi="宋体" w:eastAsia="宋体"/>
                <w:w w:val="100"/>
                <w:sz w:val="20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考查内容分析（包含亮点）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120" w:afterAutospacing="0" w:line="26" w:lineRule="atLeast"/>
              <w:ind w:left="0" w:right="0" w:firstLine="0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  <w:shd w:val="clear" w:fill="FDFDFE"/>
              </w:rPr>
              <w:t>测试概况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在本学期深入探讨了PowerPoint软件的使用技巧后，我们采用了一种实战方式来检验七年级学生们的学习成果——通过上机操作测试。此次测试主题为“地球叹息”，旨在通过制作幻灯片演示文稿，全面评估学生们在信息分析、加工、创新及利用方面的能力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12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  <w:shd w:val="clear" w:fill="FDFDFE"/>
              </w:rPr>
              <w:t>学生表现亮点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在测试中，一批优秀的学生脱颖而出。他们不仅准确无误地完成了所有操作要求，更在演示文稿中融入了巧妙的创意。这些学生对PowerPoint的各项功能了如指掌，从文字图片的插入到超链接的设置，再到图表的建立和页面的精美排版，每一项操作都驾轻就熟。他们的作品不仅技术娴熟，更透露出对美学的独特追求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12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  <w:shd w:val="clear" w:fill="FDFDFE"/>
              </w:rPr>
              <w:t>中等生表现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中等水平的学生在测试中基本达到了预期要求，但在某些细节上略显不足。虽然他们能够完成大部分操作，但在创意和制作的精细度上还有提升空间。部分学生在读题时稍显粗心，导致一些小错误的出现，好在经过老师的及时提醒，这些问题都得到了纠正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12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  <w:shd w:val="clear" w:fill="FDFDFE"/>
              </w:rPr>
              <w:t>及格生需提升之处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对于刚刚及格的学生而言，他们在PowerPoint的基本操作上还存在一些不熟练之处。特别是在处理复杂图表和信息识别方面，他们的能力还有待加强。例如，在测试中的第五页关于噪声污染的内容，部分学生就对“城市区域噪声”和“道路交通噪声”的数据解读存在混淆，导致失分。此外，部分学生在设置超级链接时也出现了一些小疏漏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12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  <w:shd w:val="clear" w:fill="FDFDFE"/>
              </w:rPr>
              <w:t>班级整体分析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七2班的学生在此次测试中展现出了不俗的整体实力。他们普遍基础扎实，对PowerPoint的操作技能掌握得相当熟练。特别是李君菱和宋欣怡两位同学，在测试中表现尤为突出，无论是技能还是创意都领先于班级其他同学。相比之下，七1班的夏子强同学则需要在基础技能和思维能力上加以提升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12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  <w:shd w:val="clear" w:fill="FDFDFE"/>
              </w:rPr>
              <w:t>教学反思与改进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0" w:beforeAutospacing="0" w:after="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通过此次测试，我们也发现了一些教学中的问题。首先，虽然学生们对信息技术普遍抱有浓厚兴趣，但部分学生更偏向于电脑游戏而非学习内容。其次，尽管大多数学生都能掌握PowerPoint的基本操作，但在熟练度和创新性上存在差异。最后，学生在综合素质和信息处理能力上还有待提高，特别是在读题理解和知识综合运用上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0" w:afterAutospacing="0" w:line="26" w:lineRule="atLeast"/>
              <w:ind w:left="0" w:righ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为了改善这些状况，我们将进一步加强基础知识的巩固，通过专题复习和针对性辅导来提升学生的薄弱环节。同时，我们也将调整教学方法，更加注重学生的实践能力和创新思维的培养。通过精讲巧练的教学模式，激发学生的主动性和创造性，让他们在信息技术的海洋中自由遨游。</w:t>
            </w:r>
          </w:p>
          <w:p>
            <w:pPr>
              <w:bidi w:val="0"/>
              <w:rPr>
                <w:rFonts w:hint="default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教学反思及改进措施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120" w:afterAutospacing="0" w:line="26" w:lineRule="atLeast"/>
              <w:ind w:left="0" w:right="0" w:firstLine="0"/>
              <w:rPr>
                <w:rFonts w:ascii="PingFang-SC-Regular" w:hAnsi="PingFang-SC-Regular" w:eastAsia="PingFang-SC-Regular" w:cs="PingFang-SC-Regular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  <w:shd w:val="clear" w:fill="FDFDFE"/>
              </w:rPr>
              <w:t>存在问题：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2"/>
                <w:szCs w:val="22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学生兴趣分化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：当前，学生对信息技术的兴趣呈现出明显的分化。一部分学生热衷于电脑游戏，而对真正的学习内容缺乏兴趣和热情。这种偏向性可能导致他们忽略了信息技术学习的核心价值。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2"/>
                <w:szCs w:val="22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操作熟练度差异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：在PowerPoint操作方面，学生之间的熟练度存在显著差异。这种差异部分原因是受到学生家庭条件和个人学习能力的影响，一些学生由于家中没有电脑或接触电脑的机会较少，导致他们在操作技能上相对落后。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2"/>
                <w:szCs w:val="22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综合素质待提高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：学生的综合素质和信息处理能力仍有待提升。特别是在读题理解和知识综合运用方面，部分学生表现出明显的不足。这影响了他们在复杂任务中的表现，也限制了他们信息技术能力的全面发展。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DFDFE"/>
              <w:spacing w:before="210" w:beforeAutospacing="0" w:after="120" w:afterAutospacing="0" w:line="26" w:lineRule="atLeast"/>
              <w:ind w:left="0" w:right="0" w:firstLine="0"/>
              <w:rPr>
                <w:rFonts w:hint="default" w:ascii="PingFang-SC-Regular" w:hAnsi="PingFang-SC-Regular" w:eastAsia="PingFang-SC-Regular" w:cs="PingFang-SC-Regular"/>
                <w:sz w:val="22"/>
                <w:szCs w:val="22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7"/>
                <w:szCs w:val="27"/>
                <w:shd w:val="clear" w:fill="FDFDFE"/>
              </w:rPr>
              <w:t>改进措施：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2"/>
                <w:szCs w:val="22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激发全面兴趣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：教师需要采取多样化的教学方法，将游戏元素融入学习中，以激发学生的学习兴趣。同时，强调信息技术学习的重要性和实用性，帮助学生认识到学习信息技术不仅是为了娱乐，更是为了未来的职业发展和个人能力提升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/>
              <w:rPr>
                <w:rFonts w:hint="default" w:ascii="PingFang-SC-Regular" w:hAnsi="PingFang-SC-Regular" w:eastAsia="PingFang-SC-Regular" w:cs="PingFang-SC-Regular"/>
                <w:sz w:val="22"/>
                <w:szCs w:val="22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加强实操训练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：针对操作熟练度的差异，教师应提供更多上机实操的机会，特别关注那些基础较弱的学生。可以通过组织小组活动，让熟练的学生帮助不熟练的学生，实现共同进步。此外，还可以利用课余时间开放电脑室，为学生提供额外的练习时间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6" w:lineRule="atLeast"/>
              <w:ind w:left="0" w:right="0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Style w:val="8"/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提升综合素质</w:t>
            </w:r>
            <w:r>
              <w:rPr>
                <w:rFonts w:hint="default" w:ascii="PingFang-SC-Regular" w:hAnsi="PingFang-SC-Regular" w:eastAsia="PingFang-SC-Regular" w:cs="PingFang-SC-Regular"/>
                <w:i w:val="0"/>
                <w:iCs w:val="0"/>
                <w:caps w:val="0"/>
                <w:color w:val="05073B"/>
                <w:spacing w:val="0"/>
                <w:sz w:val="22"/>
                <w:szCs w:val="22"/>
                <w:shd w:val="clear" w:fill="FDFDFE"/>
              </w:rPr>
              <w:t>：为了提高学生的综合素质和信息处理能力，教师需要加强对学生读题理解和知识综合运用能力的培养。可以通过增加案例分析、项目实践等教学方式，让学生在解决实际问题中锻炼这些能力。同时，定期进行综合能力测试，帮助学生了解自己的不足，并制定个性化的学习计划。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104B36"/>
    <w:multiLevelType w:val="singleLevel"/>
    <w:tmpl w:val="AE104B3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RlNzAzNTIzNzYxMjZlNTRiMDQ5ZjYyMzI1NWIzNzMifQ=="/>
  </w:docVars>
  <w:rsids>
    <w:rsidRoot w:val="00000000"/>
    <w:rsid w:val="014C20FB"/>
    <w:rsid w:val="252232B2"/>
    <w:rsid w:val="2B8F0A9B"/>
    <w:rsid w:val="2F250973"/>
    <w:rsid w:val="317321DC"/>
    <w:rsid w:val="36874A67"/>
    <w:rsid w:val="39B905C0"/>
    <w:rsid w:val="476807AE"/>
    <w:rsid w:val="5B356B09"/>
    <w:rsid w:val="72113BD5"/>
    <w:rsid w:val="741C1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2021-11-23T03:25:00Z</dcterms:created>
  <dc:creator>admin</dc:creator>
  <cp:lastModifiedBy>owen</cp:lastModifiedBy>
  <cp:lastPrinted>2021-11-23T03:26:00Z</cp:lastPrinted>
  <dcterms:modified xsi:type="dcterms:W3CDTF">2024-06-14T05:27:19Z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AC22E3DFC42C43D9B5091D2794E08025_13</vt:lpwstr>
  </property>
</Properties>
</file>