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2DA14">
      <w:pPr>
        <w:widowControl/>
        <w:autoSpaceDE/>
        <w:autoSpaceDN/>
        <w:snapToGrid w:val="0"/>
        <w:spacing w:before="0" w:after="0" w:line="360" w:lineRule="auto"/>
        <w:ind w:left="0" w:firstLine="1050" w:firstLineChars="500"/>
        <w:jc w:val="both"/>
        <w:rPr>
          <w:rFonts w:hint="eastAsia" w:ascii="黑体" w:hAnsi="黑体" w:eastAsia="黑体" w:cs="黑体"/>
          <w:w w:val="100"/>
          <w:sz w:val="36"/>
        </w:rPr>
      </w:pPr>
      <w:r>
        <w:rPr>
          <w:rFonts w:hint="eastAsia" w:ascii="黑体" w:hAnsi="黑体" w:eastAsia="黑体" w:cs="黑体"/>
          <w:lang w:val="en-US" w:eastAsia="zh-CN"/>
        </w:rPr>
        <w:t xml:space="preserve">           </w:t>
      </w:r>
      <w:r>
        <w:rPr>
          <w:rFonts w:hint="eastAsia" w:ascii="黑体" w:hAnsi="黑体" w:eastAsia="黑体" w:cs="黑体"/>
          <w:w w:val="100"/>
          <w:sz w:val="36"/>
          <w:lang w:eastAsia="zh-CN"/>
        </w:rPr>
        <w:t>上海市闵行区启音学校</w:t>
      </w:r>
    </w:p>
    <w:p w14:paraId="4E23DF15">
      <w:pPr>
        <w:widowControl/>
        <w:autoSpaceDE/>
        <w:autoSpaceDN/>
        <w:snapToGrid w:val="0"/>
        <w:spacing w:before="0" w:after="0" w:line="360" w:lineRule="auto"/>
        <w:ind w:left="0" w:firstLine="0"/>
        <w:jc w:val="center"/>
        <w:rPr>
          <w:rFonts w:ascii="宋体" w:hAnsi="宋体" w:eastAsia="宋体"/>
          <w:w w:val="100"/>
          <w:sz w:val="24"/>
        </w:rPr>
      </w:pPr>
      <w:r>
        <w:rPr>
          <w:rFonts w:hint="eastAsia" w:ascii="宋体" w:hAnsi="宋体" w:eastAsia="宋体"/>
          <w:w w:val="100"/>
          <w:sz w:val="24"/>
          <w:u w:val="single"/>
          <w:lang w:val="en-US" w:eastAsia="zh-CN"/>
        </w:rPr>
        <w:t xml:space="preserve">2024  </w:t>
      </w:r>
      <w:r>
        <w:rPr>
          <w:rFonts w:hint="eastAsia" w:ascii="宋体" w:hAnsi="宋体" w:eastAsia="宋体"/>
          <w:w w:val="100"/>
          <w:sz w:val="24"/>
          <w:lang w:eastAsia="zh-CN"/>
        </w:rPr>
        <w:t>学年度    第</w:t>
      </w:r>
      <w:r>
        <w:rPr>
          <w:rFonts w:hint="eastAsia" w:ascii="宋体" w:hAnsi="宋体" w:eastAsia="宋体"/>
          <w:w w:val="100"/>
          <w:sz w:val="24"/>
          <w:u w:val="single"/>
          <w:lang w:val="en-US" w:eastAsia="zh-CN"/>
        </w:rPr>
        <w:t xml:space="preserve"> 一 </w:t>
      </w:r>
      <w:r>
        <w:rPr>
          <w:rFonts w:hint="eastAsia" w:ascii="宋体" w:hAnsi="宋体" w:eastAsia="宋体"/>
          <w:w w:val="100"/>
          <w:sz w:val="24"/>
          <w:lang w:eastAsia="zh-CN"/>
        </w:rPr>
        <w:t xml:space="preserve">学期  </w:t>
      </w:r>
      <w:r>
        <w:rPr>
          <w:rFonts w:ascii="Times New Roman" w:hAnsi="Times New Roman" w:eastAsia="宋体"/>
          <w:w w:val="100"/>
          <w:sz w:val="24"/>
        </w:rPr>
        <w:t xml:space="preserve"> </w:t>
      </w:r>
      <w:r>
        <w:rPr>
          <w:rFonts w:hint="eastAsia" w:ascii="Times New Roman" w:hAnsi="Times New Roman" w:eastAsia="宋体"/>
          <w:w w:val="100"/>
          <w:sz w:val="24"/>
          <w:u w:val="single"/>
          <w:lang w:val="en-US" w:eastAsia="zh-CN"/>
        </w:rPr>
        <w:t xml:space="preserve"> 信息  </w:t>
      </w:r>
      <w:r>
        <w:rPr>
          <w:rFonts w:hint="eastAsia" w:ascii="宋体" w:hAnsi="宋体" w:eastAsia="宋体"/>
          <w:w w:val="100"/>
          <w:sz w:val="24"/>
          <w:lang w:eastAsia="zh-CN"/>
        </w:rPr>
        <w:t>学科质量分析</w:t>
      </w:r>
    </w:p>
    <w:p w14:paraId="49285CDE">
      <w:pPr>
        <w:autoSpaceDE/>
        <w:autoSpaceDN/>
        <w:snapToGrid w:val="0"/>
        <w:spacing w:before="0" w:after="0" w:line="360" w:lineRule="auto"/>
        <w:ind w:left="0" w:firstLine="0"/>
        <w:jc w:val="center"/>
        <w:rPr>
          <w:rFonts w:hint="eastAsia" w:ascii="宋体" w:hAnsi="宋体" w:eastAsia="宋体"/>
          <w:w w:val="100"/>
          <w:sz w:val="24"/>
          <w:lang w:eastAsia="zh-CN"/>
        </w:rPr>
      </w:pPr>
      <w:r>
        <w:rPr>
          <w:rFonts w:hint="eastAsia" w:ascii="宋体" w:hAnsi="宋体" w:eastAsia="宋体"/>
          <w:w w:val="100"/>
          <w:sz w:val="24"/>
          <w:u w:val="single"/>
          <w:lang w:val="en-US" w:eastAsia="zh-CN"/>
        </w:rPr>
        <w:t xml:space="preserve">八年级 </w:t>
      </w:r>
      <w:r>
        <w:rPr>
          <w:rFonts w:hint="eastAsia" w:ascii="宋体" w:hAnsi="宋体" w:eastAsia="宋体"/>
          <w:w w:val="100"/>
          <w:sz w:val="24"/>
          <w:lang w:eastAsia="zh-CN"/>
        </w:rPr>
        <w:t>年级</w:t>
      </w:r>
      <w:r>
        <w:rPr>
          <w:rFonts w:hint="eastAsia" w:ascii="宋体" w:hAnsi="宋体" w:eastAsia="宋体"/>
          <w:w w:val="100"/>
          <w:sz w:val="24"/>
          <w:u w:val="single"/>
          <w:lang w:val="en-US" w:eastAsia="zh-CN"/>
        </w:rPr>
        <w:t xml:space="preserve"> 1、2 </w:t>
      </w:r>
      <w:r>
        <w:rPr>
          <w:rFonts w:hint="eastAsia" w:ascii="宋体" w:hAnsi="宋体" w:eastAsia="宋体"/>
          <w:w w:val="100"/>
          <w:sz w:val="24"/>
          <w:lang w:eastAsia="zh-CN"/>
        </w:rPr>
        <w:t>班    任课教师</w:t>
      </w:r>
      <w:r>
        <w:rPr>
          <w:rFonts w:hint="eastAsia" w:ascii="宋体" w:hAnsi="宋体" w:eastAsia="宋体"/>
          <w:w w:val="100"/>
          <w:sz w:val="24"/>
          <w:u w:val="single"/>
          <w:lang w:val="en-US" w:eastAsia="zh-CN"/>
        </w:rPr>
        <w:t xml:space="preserve"> 戴意芳</w:t>
      </w:r>
      <w:r>
        <w:rPr>
          <w:rFonts w:ascii="Times New Roman" w:hAnsi="Times New Roman" w:eastAsia="宋体"/>
          <w:w w:val="100"/>
          <w:sz w:val="24"/>
        </w:rPr>
        <w:t xml:space="preserve">  </w:t>
      </w:r>
      <w:r>
        <w:rPr>
          <w:rFonts w:hint="eastAsia" w:ascii="Times New Roman" w:hAnsi="Times New Roman" w:eastAsia="宋体"/>
          <w:w w:val="100"/>
          <w:sz w:val="24"/>
          <w:lang w:val="en-US" w:eastAsia="zh-CN"/>
        </w:rPr>
        <w:t xml:space="preserve">  </w:t>
      </w:r>
      <w:r>
        <w:rPr>
          <w:rFonts w:hint="eastAsia" w:ascii="宋体" w:hAnsi="宋体" w:eastAsia="宋体"/>
          <w:w w:val="100"/>
          <w:sz w:val="24"/>
          <w:lang w:eastAsia="zh-CN"/>
        </w:rPr>
        <w:t>填表日期</w:t>
      </w:r>
      <w:r>
        <w:rPr>
          <w:rFonts w:hint="eastAsia" w:ascii="宋体" w:hAnsi="宋体" w:eastAsia="宋体"/>
          <w:w w:val="100"/>
          <w:sz w:val="24"/>
          <w:u w:val="single"/>
          <w:lang w:val="en-US" w:eastAsia="zh-CN"/>
        </w:rPr>
        <w:t xml:space="preserve"> 2024 </w:t>
      </w:r>
      <w:r>
        <w:rPr>
          <w:rFonts w:hint="eastAsia" w:ascii="宋体" w:hAnsi="宋体" w:eastAsia="宋体"/>
          <w:w w:val="100"/>
          <w:sz w:val="24"/>
          <w:lang w:eastAsia="zh-CN"/>
        </w:rPr>
        <w:t>年</w:t>
      </w:r>
      <w:r>
        <w:rPr>
          <w:rFonts w:hint="eastAsia" w:ascii="宋体" w:hAnsi="宋体" w:eastAsia="宋体"/>
          <w:w w:val="100"/>
          <w:sz w:val="24"/>
          <w:u w:val="single"/>
          <w:lang w:val="en-US" w:eastAsia="zh-CN"/>
        </w:rPr>
        <w:t xml:space="preserve"> 1</w:t>
      </w:r>
      <w:r>
        <w:rPr>
          <w:rFonts w:hint="eastAsia" w:ascii="宋体" w:hAnsi="宋体" w:eastAsia="宋体"/>
          <w:w w:val="100"/>
          <w:sz w:val="24"/>
          <w:lang w:eastAsia="zh-CN"/>
        </w:rPr>
        <w:t>月</w:t>
      </w:r>
      <w:r>
        <w:rPr>
          <w:rFonts w:hint="eastAsia" w:ascii="宋体" w:hAnsi="宋体" w:eastAsia="宋体"/>
          <w:w w:val="100"/>
          <w:sz w:val="24"/>
          <w:lang w:val="en-US" w:eastAsia="zh-CN"/>
        </w:rPr>
        <w:t>9</w:t>
      </w:r>
      <w:r>
        <w:rPr>
          <w:rFonts w:hint="eastAsia" w:ascii="宋体" w:hAnsi="宋体" w:eastAsia="宋体"/>
          <w:w w:val="100"/>
          <w:sz w:val="24"/>
          <w:u w:val="single"/>
          <w:lang w:val="en-US" w:eastAsia="zh-CN"/>
        </w:rPr>
        <w:t xml:space="preserve"> </w:t>
      </w:r>
      <w:r>
        <w:rPr>
          <w:rFonts w:hint="eastAsia" w:ascii="宋体" w:hAnsi="宋体" w:eastAsia="宋体"/>
          <w:w w:val="100"/>
          <w:sz w:val="24"/>
          <w:lang w:eastAsia="zh-CN"/>
        </w:rPr>
        <w:t>日</w:t>
      </w:r>
    </w:p>
    <w:p w14:paraId="6184C55D">
      <w:pPr>
        <w:autoSpaceDE/>
        <w:autoSpaceDN/>
        <w:snapToGrid w:val="0"/>
        <w:spacing w:before="0" w:after="0" w:line="360" w:lineRule="auto"/>
        <w:ind w:left="0" w:firstLine="0"/>
        <w:jc w:val="both"/>
        <w:rPr>
          <w:rFonts w:hint="default" w:ascii="宋体" w:hAnsi="宋体" w:eastAsia="宋体"/>
          <w:w w:val="100"/>
          <w:sz w:val="24"/>
          <w:lang w:val="en-US" w:eastAsia="zh-CN"/>
        </w:rPr>
      </w:pPr>
    </w:p>
    <w:p w14:paraId="6F1F6B48">
      <w:pPr>
        <w:autoSpaceDE/>
        <w:autoSpaceDN/>
        <w:snapToGrid w:val="0"/>
        <w:spacing w:before="0" w:after="0" w:line="360" w:lineRule="auto"/>
        <w:ind w:left="0" w:firstLine="0"/>
        <w:jc w:val="center"/>
        <w:rPr>
          <w:rFonts w:hint="default" w:ascii="宋体" w:hAnsi="宋体" w:eastAsia="宋体"/>
          <w:w w:val="100"/>
          <w:sz w:val="24"/>
          <w:lang w:val="en-US" w:eastAsia="zh-CN"/>
        </w:rPr>
      </w:pPr>
      <w:r>
        <w:rPr>
          <w:rFonts w:hint="eastAsia" w:ascii="宋体" w:hAnsi="宋体" w:eastAsia="宋体"/>
          <w:b/>
          <w:bCs/>
          <w:w w:val="100"/>
          <w:sz w:val="28"/>
          <w:szCs w:val="28"/>
          <w:lang w:val="en-US" w:eastAsia="zh-CN"/>
        </w:rPr>
        <w:t>一、成绩整体情况</w:t>
      </w:r>
    </w:p>
    <w:tbl>
      <w:tblPr>
        <w:tblStyle w:val="3"/>
        <w:tblW w:w="9255" w:type="dxa"/>
        <w:jc w:val="center"/>
        <w:tblLayout w:type="fixed"/>
        <w:tblCellMar>
          <w:top w:w="0" w:type="dxa"/>
          <w:left w:w="0" w:type="dxa"/>
          <w:bottom w:w="0" w:type="dxa"/>
          <w:right w:w="0" w:type="dxa"/>
        </w:tblCellMar>
      </w:tblPr>
      <w:tblGrid>
        <w:gridCol w:w="1151"/>
        <w:gridCol w:w="471"/>
        <w:gridCol w:w="471"/>
        <w:gridCol w:w="408"/>
        <w:gridCol w:w="308"/>
        <w:gridCol w:w="805"/>
        <w:gridCol w:w="237"/>
        <w:gridCol w:w="568"/>
        <w:gridCol w:w="1"/>
        <w:gridCol w:w="781"/>
        <w:gridCol w:w="23"/>
        <w:gridCol w:w="805"/>
        <w:gridCol w:w="2"/>
        <w:gridCol w:w="520"/>
        <w:gridCol w:w="283"/>
        <w:gridCol w:w="805"/>
        <w:gridCol w:w="3"/>
        <w:gridCol w:w="259"/>
        <w:gridCol w:w="543"/>
        <w:gridCol w:w="811"/>
      </w:tblGrid>
      <w:tr w14:paraId="69F116CD">
        <w:trPr>
          <w:trHeight w:val="720" w:hRule="atLeast"/>
          <w:jc w:val="center"/>
        </w:trPr>
        <w:tc>
          <w:tcPr>
            <w:tcW w:w="1151" w:type="dxa"/>
            <w:tcBorders>
              <w:top w:val="single" w:color="000000" w:sz="12" w:space="0"/>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14:paraId="0AC8B8AB">
            <w:pPr>
              <w:widowControl/>
              <w:autoSpaceDE/>
              <w:autoSpaceDN/>
              <w:snapToGrid/>
              <w:spacing w:before="0" w:after="0" w:line="240" w:lineRule="auto"/>
              <w:ind w:left="0" w:firstLine="0"/>
              <w:jc w:val="center"/>
              <w:rPr>
                <w:rFonts w:ascii="宋体" w:hAnsi="宋体" w:eastAsia="宋体"/>
                <w:w w:val="100"/>
                <w:sz w:val="21"/>
              </w:rPr>
            </w:pPr>
            <w:r>
              <w:rPr>
                <w:rFonts w:hint="eastAsia" w:ascii="宋体" w:hAnsi="宋体" w:eastAsia="宋体"/>
                <w:w w:val="100"/>
                <w:sz w:val="21"/>
                <w:lang w:eastAsia="zh-CN"/>
              </w:rPr>
              <w:t>项    目</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1BA16B43">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班级</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471" w:type="dxa"/>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5A1D1111">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实考</w:t>
            </w:r>
            <w:r>
              <w:rPr>
                <w:rFonts w:ascii="Times New Roman" w:hAnsi="Times New Roman" w:eastAsia="宋体"/>
                <w:w w:val="100"/>
                <w:sz w:val="20"/>
              </w:rPr>
              <w:t xml:space="preserve">    </w:t>
            </w:r>
            <w:r>
              <w:rPr>
                <w:rFonts w:hint="eastAsia" w:ascii="宋体" w:hAnsi="宋体" w:eastAsia="宋体"/>
                <w:w w:val="100"/>
                <w:sz w:val="20"/>
                <w:lang w:eastAsia="zh-CN"/>
              </w:rPr>
              <w:t>人数</w:t>
            </w:r>
          </w:p>
        </w:tc>
        <w:tc>
          <w:tcPr>
            <w:tcW w:w="716" w:type="dxa"/>
            <w:gridSpan w:val="2"/>
            <w:tcBorders>
              <w:top w:val="single" w:color="000000" w:sz="12" w:space="0"/>
              <w:left w:val="single" w:color="000000" w:sz="6" w:space="0"/>
              <w:bottom w:val="single" w:color="000000" w:sz="6" w:space="0"/>
              <w:right w:val="single" w:color="000000" w:sz="6" w:space="0"/>
            </w:tcBorders>
            <w:noWrap w:val="0"/>
            <w:tcMar>
              <w:top w:w="0" w:type="dxa"/>
              <w:left w:w="108" w:type="dxa"/>
              <w:bottom w:w="0" w:type="dxa"/>
              <w:right w:w="108" w:type="dxa"/>
            </w:tcMar>
            <w:vAlign w:val="center"/>
          </w:tcPr>
          <w:p w14:paraId="385C17C4">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eastAsia="zh-CN"/>
              </w:rPr>
              <w:t>总评</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EE8E193">
            <w:pPr>
              <w:widowControl/>
              <w:autoSpaceDE/>
              <w:autoSpaceDN/>
              <w:snapToGrid/>
              <w:spacing w:before="0" w:after="0" w:line="240" w:lineRule="auto"/>
              <w:ind w:left="0" w:firstLine="0"/>
              <w:jc w:val="both"/>
              <w:rPr>
                <w:rFonts w:hint="eastAsia" w:ascii="Times New Roman" w:hAnsi="Times New Roman" w:eastAsia="宋体"/>
                <w:w w:val="100"/>
                <w:sz w:val="20"/>
                <w:lang w:val="en-US" w:eastAsia="zh-CN"/>
              </w:rPr>
            </w:pPr>
          </w:p>
          <w:p w14:paraId="24FE0B24">
            <w:pPr>
              <w:widowControl/>
              <w:autoSpaceDE/>
              <w:autoSpaceDN/>
              <w:snapToGrid/>
              <w:spacing w:before="0" w:after="0" w:line="240" w:lineRule="auto"/>
              <w:ind w:left="0" w:firstLine="200" w:firstLineChars="100"/>
              <w:jc w:val="both"/>
              <w:rPr>
                <w:rFonts w:hint="default" w:ascii="Times New Roman" w:hAnsi="Times New Roman" w:eastAsia="宋体"/>
                <w:w w:val="100"/>
                <w:sz w:val="20"/>
                <w:lang w:val="en-US"/>
              </w:rPr>
            </w:pPr>
            <w:r>
              <w:rPr>
                <w:rFonts w:hint="eastAsia" w:ascii="Times New Roman" w:hAnsi="Times New Roman" w:eastAsia="宋体"/>
                <w:w w:val="100"/>
                <w:sz w:val="20"/>
                <w:lang w:val="en-US" w:eastAsia="zh-CN"/>
              </w:rPr>
              <w:t>A（85~100）</w:t>
            </w:r>
          </w:p>
          <w:p w14:paraId="4A17629B">
            <w:pPr>
              <w:widowControl/>
              <w:autoSpaceDE/>
              <w:autoSpaceDN/>
              <w:snapToGrid/>
              <w:spacing w:before="0" w:after="0" w:line="240" w:lineRule="auto"/>
              <w:ind w:left="0" w:firstLine="0"/>
              <w:jc w:val="center"/>
              <w:rPr>
                <w:rFonts w:ascii="宋体" w:hAnsi="宋体" w:eastAsia="宋体"/>
                <w:w w:val="100"/>
                <w:sz w:val="20"/>
              </w:rPr>
            </w:pP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8EB2440">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B（75~</w:t>
            </w:r>
            <w:r>
              <w:rPr>
                <w:rFonts w:ascii="Times New Roman" w:hAnsi="Times New Roman" w:eastAsia="宋体"/>
                <w:w w:val="100"/>
                <w:sz w:val="20"/>
              </w:rPr>
              <w:t>8</w:t>
            </w:r>
            <w:r>
              <w:rPr>
                <w:rFonts w:hint="eastAsia" w:ascii="Times New Roman" w:hAnsi="Times New Roman" w:eastAsia="宋体"/>
                <w:w w:val="100"/>
                <w:sz w:val="20"/>
                <w:lang w:val="en-US" w:eastAsia="zh-CN"/>
              </w:rPr>
              <w:t>4</w:t>
            </w:r>
            <w:r>
              <w:rPr>
                <w:rFonts w:hint="eastAsia" w:ascii="宋体" w:hAnsi="宋体" w:eastAsia="宋体"/>
                <w:w w:val="100"/>
                <w:sz w:val="20"/>
                <w:lang w:eastAsia="zh-CN"/>
              </w:rPr>
              <w:t>）</w:t>
            </w:r>
          </w:p>
        </w:tc>
        <w:tc>
          <w:tcPr>
            <w:tcW w:w="1611" w:type="dxa"/>
            <w:gridSpan w:val="4"/>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66DC8C7">
            <w:pPr>
              <w:widowControl/>
              <w:autoSpaceDE/>
              <w:autoSpaceDN/>
              <w:snapToGrid/>
              <w:spacing w:before="0" w:after="0" w:line="240" w:lineRule="auto"/>
              <w:ind w:left="0" w:firstLine="0"/>
              <w:jc w:val="center"/>
              <w:rPr>
                <w:rFonts w:ascii="宋体" w:hAnsi="宋体" w:eastAsia="宋体"/>
                <w:w w:val="100"/>
                <w:sz w:val="20"/>
              </w:rPr>
            </w:pPr>
            <w:r>
              <w:rPr>
                <w:rFonts w:hint="eastAsia" w:ascii="Times New Roman" w:hAnsi="Times New Roman" w:eastAsia="宋体"/>
                <w:w w:val="100"/>
                <w:sz w:val="20"/>
                <w:lang w:val="en-US" w:eastAsia="zh-CN"/>
              </w:rPr>
              <w:t>C（60~</w:t>
            </w:r>
            <w:r>
              <w:rPr>
                <w:rFonts w:ascii="Times New Roman" w:hAnsi="Times New Roman" w:eastAsia="宋体"/>
                <w:w w:val="100"/>
                <w:sz w:val="20"/>
              </w:rPr>
              <w:t>7</w:t>
            </w:r>
            <w:r>
              <w:rPr>
                <w:rFonts w:hint="eastAsia" w:ascii="Times New Roman" w:hAnsi="Times New Roman" w:eastAsia="宋体"/>
                <w:w w:val="100"/>
                <w:sz w:val="20"/>
                <w:lang w:val="en-US" w:eastAsia="zh-CN"/>
              </w:rPr>
              <w:t>4）</w:t>
            </w:r>
          </w:p>
        </w:tc>
        <w:tc>
          <w:tcPr>
            <w:tcW w:w="1613" w:type="dxa"/>
            <w:gridSpan w:val="3"/>
            <w:tcBorders>
              <w:top w:val="single" w:color="000000" w:sz="12"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93611A2">
            <w:pPr>
              <w:widowControl/>
              <w:autoSpaceDE/>
              <w:autoSpaceDN/>
              <w:snapToGrid/>
              <w:spacing w:before="0" w:after="0" w:line="240" w:lineRule="auto"/>
              <w:ind w:left="0" w:firstLine="0"/>
              <w:jc w:val="center"/>
              <w:rPr>
                <w:rFonts w:ascii="宋体" w:hAnsi="宋体" w:eastAsia="宋体"/>
                <w:w w:val="100"/>
                <w:sz w:val="20"/>
              </w:rPr>
            </w:pPr>
            <w:r>
              <w:rPr>
                <w:rFonts w:hint="eastAsia" w:ascii="宋体" w:hAnsi="宋体" w:eastAsia="宋体"/>
                <w:w w:val="100"/>
                <w:sz w:val="20"/>
                <w:lang w:val="en-US" w:eastAsia="zh-CN"/>
              </w:rPr>
              <w:t>D（60分以下）</w:t>
            </w:r>
          </w:p>
        </w:tc>
      </w:tr>
      <w:tr w14:paraId="2DC012C8">
        <w:trPr>
          <w:trHeight w:val="543" w:hRule="atLeast"/>
          <w:jc w:val="center"/>
        </w:trPr>
        <w:tc>
          <w:tcPr>
            <w:tcW w:w="1151" w:type="dxa"/>
            <w:vMerge w:val="restart"/>
            <w:tcBorders>
              <w:top w:val="single" w:color="000000" w:sz="6" w:space="0"/>
              <w:left w:val="single" w:color="000000" w:sz="12" w:space="0"/>
              <w:right w:val="single" w:color="000000" w:sz="6" w:space="0"/>
            </w:tcBorders>
            <w:noWrap w:val="0"/>
            <w:tcMar>
              <w:top w:w="0" w:type="dxa"/>
              <w:left w:w="108" w:type="dxa"/>
              <w:bottom w:w="0" w:type="dxa"/>
              <w:right w:w="108" w:type="dxa"/>
            </w:tcMar>
            <w:vAlign w:val="center"/>
          </w:tcPr>
          <w:p w14:paraId="57540625">
            <w:pPr>
              <w:widowControl/>
              <w:autoSpaceDE/>
              <w:autoSpaceDN/>
              <w:snapToGrid/>
              <w:spacing w:before="0" w:after="0" w:line="240" w:lineRule="auto"/>
              <w:ind w:left="0" w:firstLine="0"/>
              <w:jc w:val="center"/>
              <w:rPr>
                <w:rFonts w:hint="eastAsia" w:ascii="宋体" w:hAnsi="宋体" w:eastAsia="宋体"/>
                <w:w w:val="100"/>
                <w:sz w:val="21"/>
                <w:lang w:eastAsia="zh-CN"/>
              </w:rPr>
            </w:pPr>
            <w:r>
              <w:rPr>
                <w:rFonts w:hint="eastAsia" w:ascii="宋体" w:hAnsi="宋体" w:eastAsia="宋体"/>
                <w:w w:val="100"/>
                <w:sz w:val="21"/>
                <w:lang w:eastAsia="zh-CN"/>
              </w:rPr>
              <w:t>总体情况</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248821D9">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9</w:t>
            </w:r>
          </w:p>
        </w:tc>
        <w:tc>
          <w:tcPr>
            <w:tcW w:w="471" w:type="dxa"/>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05552D1D">
            <w:pPr>
              <w:widowControl/>
              <w:autoSpaceDE/>
              <w:autoSpaceDN/>
              <w:snapToGrid/>
              <w:spacing w:before="0" w:after="0" w:line="240" w:lineRule="auto"/>
              <w:ind w:left="0" w:firstLine="0"/>
              <w:jc w:val="center"/>
              <w:rPr>
                <w:rFonts w:hint="default" w:ascii="宋体" w:hAnsi="宋体" w:eastAsia="宋体"/>
                <w:w w:val="100"/>
                <w:sz w:val="20"/>
                <w:lang w:val="en-US" w:eastAsia="zh-CN"/>
              </w:rPr>
            </w:pPr>
            <w:r>
              <w:rPr>
                <w:rFonts w:hint="eastAsia" w:ascii="宋体" w:hAnsi="宋体" w:eastAsia="宋体"/>
                <w:w w:val="100"/>
                <w:sz w:val="20"/>
                <w:lang w:val="en-US" w:eastAsia="zh-CN"/>
              </w:rPr>
              <w:t>8</w:t>
            </w:r>
          </w:p>
        </w:tc>
        <w:tc>
          <w:tcPr>
            <w:tcW w:w="716" w:type="dxa"/>
            <w:gridSpan w:val="2"/>
            <w:vMerge w:val="restart"/>
            <w:tcBorders>
              <w:top w:val="single" w:color="000000" w:sz="6" w:space="0"/>
              <w:left w:val="single" w:color="000000" w:sz="6" w:space="0"/>
              <w:right w:val="single" w:color="000000" w:sz="6" w:space="0"/>
            </w:tcBorders>
            <w:noWrap w:val="0"/>
            <w:tcMar>
              <w:top w:w="0" w:type="dxa"/>
              <w:left w:w="108" w:type="dxa"/>
              <w:bottom w:w="0" w:type="dxa"/>
              <w:right w:w="108" w:type="dxa"/>
            </w:tcMar>
            <w:vAlign w:val="center"/>
          </w:tcPr>
          <w:p w14:paraId="0BD93F13">
            <w:pPr>
              <w:widowControl/>
              <w:autoSpaceDE/>
              <w:autoSpaceDN/>
              <w:snapToGrid/>
              <w:spacing w:before="0" w:after="0" w:line="240" w:lineRule="auto"/>
              <w:ind w:left="0" w:firstLine="0"/>
              <w:jc w:val="center"/>
              <w:rPr>
                <w:rFonts w:hint="default" w:ascii="宋体" w:hAnsi="宋体" w:eastAsia="宋体"/>
                <w:w w:val="100"/>
                <w:sz w:val="20"/>
                <w:lang w:val="en-US" w:eastAsia="zh-CN"/>
              </w:rP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6AA5B2D">
            <w:pPr>
              <w:widowControl/>
              <w:autoSpaceDE/>
              <w:autoSpaceDN/>
              <w:snapToGrid/>
              <w:spacing w:before="0" w:after="0" w:line="240" w:lineRule="auto"/>
              <w:ind w:left="0" w:firstLine="0"/>
              <w:jc w:val="center"/>
              <w:rPr>
                <w:rFonts w:hint="eastAsia" w:ascii="宋体" w:hAnsi="宋体" w:eastAsia="宋体"/>
                <w:w w:val="100"/>
                <w:sz w:val="20"/>
                <w:lang w:eastAsia="zh-CN"/>
              </w:rPr>
            </w:pPr>
            <w:r>
              <w:rPr>
                <w:rFonts w:hint="eastAsia" w:ascii="宋体" w:hAnsi="宋体" w:eastAsia="宋体"/>
                <w:w w:val="100"/>
                <w:sz w:val="20"/>
                <w:lang w:val="en-US" w:eastAsia="zh-CN"/>
              </w:rPr>
              <w:t>人</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36C0F81">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1CF437DB">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1094813">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E4D1C1C">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1F8449BD">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458044C">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人</w:t>
            </w: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59174EC9">
            <w:pPr>
              <w:widowControl/>
              <w:autoSpaceDE/>
              <w:autoSpaceDN/>
              <w:snapToGrid/>
              <w:spacing w:before="0" w:after="0" w:line="240" w:lineRule="auto"/>
              <w:ind w:left="0" w:leftChars="0" w:firstLine="0" w:firstLineChars="0"/>
              <w:jc w:val="center"/>
              <w:rPr>
                <w:rFonts w:hint="eastAsia" w:ascii="宋体" w:hAnsi="宋体" w:eastAsia="宋体"/>
                <w:w w:val="100"/>
                <w:sz w:val="20"/>
                <w:lang w:val="en-US" w:eastAsia="zh-CN"/>
              </w:rPr>
            </w:pPr>
            <w:r>
              <w:rPr>
                <w:rFonts w:hint="eastAsia" w:ascii="宋体" w:hAnsi="宋体" w:eastAsia="宋体"/>
                <w:w w:val="100"/>
                <w:sz w:val="20"/>
                <w:lang w:val="en-US" w:eastAsia="zh-CN"/>
              </w:rPr>
              <w:t>%</w:t>
            </w:r>
          </w:p>
        </w:tc>
      </w:tr>
      <w:tr w14:paraId="40826064">
        <w:trPr>
          <w:trHeight w:val="438" w:hRule="atLeast"/>
          <w:jc w:val="center"/>
        </w:trPr>
        <w:tc>
          <w:tcPr>
            <w:tcW w:w="1151" w:type="dxa"/>
            <w:vMerge w:val="continue"/>
            <w:tcBorders>
              <w:left w:val="single" w:color="000000" w:sz="12" w:space="0"/>
              <w:right w:val="single" w:color="000000" w:sz="6" w:space="0"/>
            </w:tcBorders>
            <w:noWrap w:val="0"/>
            <w:tcMar>
              <w:top w:w="0" w:type="dxa"/>
              <w:left w:w="108" w:type="dxa"/>
              <w:bottom w:w="0" w:type="dxa"/>
              <w:right w:w="108" w:type="dxa"/>
            </w:tcMar>
            <w:vAlign w:val="center"/>
          </w:tcPr>
          <w:p w14:paraId="65026BB3">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14:paraId="01529A8C">
            <w:pPr>
              <w:widowControl/>
              <w:autoSpaceDE/>
              <w:autoSpaceDN/>
              <w:snapToGrid/>
              <w:spacing w:before="0" w:after="0" w:line="240" w:lineRule="auto"/>
              <w:ind w:left="0" w:leftChars="0" w:firstLine="0" w:firstLineChars="0"/>
              <w:jc w:val="center"/>
            </w:pPr>
          </w:p>
        </w:tc>
        <w:tc>
          <w:tcPr>
            <w:tcW w:w="471" w:type="dxa"/>
            <w:vMerge w:val="continue"/>
            <w:tcBorders>
              <w:left w:val="single" w:color="000000" w:sz="6" w:space="0"/>
              <w:right w:val="single" w:color="000000" w:sz="6" w:space="0"/>
            </w:tcBorders>
            <w:noWrap w:val="0"/>
            <w:tcMar>
              <w:top w:w="0" w:type="dxa"/>
              <w:left w:w="108" w:type="dxa"/>
              <w:bottom w:w="0" w:type="dxa"/>
              <w:right w:w="108" w:type="dxa"/>
            </w:tcMar>
            <w:vAlign w:val="center"/>
          </w:tcPr>
          <w:p w14:paraId="1F09E775">
            <w:pPr>
              <w:widowControl/>
              <w:autoSpaceDE/>
              <w:autoSpaceDN/>
              <w:snapToGrid/>
              <w:spacing w:before="0" w:after="0" w:line="240" w:lineRule="auto"/>
              <w:ind w:left="0" w:leftChars="0" w:firstLine="0" w:firstLineChars="0"/>
              <w:jc w:val="center"/>
            </w:pPr>
          </w:p>
        </w:tc>
        <w:tc>
          <w:tcPr>
            <w:tcW w:w="716" w:type="dxa"/>
            <w:gridSpan w:val="2"/>
            <w:vMerge w:val="continue"/>
            <w:tcBorders>
              <w:left w:val="single" w:color="000000" w:sz="6" w:space="0"/>
              <w:right w:val="single" w:color="000000" w:sz="6" w:space="0"/>
            </w:tcBorders>
            <w:noWrap w:val="0"/>
            <w:tcMar>
              <w:top w:w="0" w:type="dxa"/>
              <w:left w:w="108" w:type="dxa"/>
              <w:bottom w:w="0" w:type="dxa"/>
              <w:right w:w="108" w:type="dxa"/>
            </w:tcMar>
            <w:vAlign w:val="center"/>
          </w:tcPr>
          <w:p w14:paraId="2B5385A4">
            <w:pPr>
              <w:widowControl/>
              <w:autoSpaceDE/>
              <w:autoSpaceDN/>
              <w:snapToGrid/>
              <w:spacing w:before="0" w:after="0" w:line="240" w:lineRule="auto"/>
              <w:ind w:left="0" w:leftChars="0" w:firstLine="0" w:firstLineChars="0"/>
              <w:jc w:val="center"/>
            </w:pP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A89C157">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2</w:t>
            </w:r>
          </w:p>
        </w:tc>
        <w:tc>
          <w:tcPr>
            <w:tcW w:w="805" w:type="dxa"/>
            <w:gridSpan w:val="2"/>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225E362">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0860611">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4</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39049BF">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41CCF29">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1</w:t>
            </w:r>
          </w:p>
        </w:tc>
        <w:tc>
          <w:tcPr>
            <w:tcW w:w="805"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6E25E2FA">
            <w:pPr>
              <w:widowControl/>
              <w:autoSpaceDE/>
              <w:autoSpaceDN/>
              <w:snapToGrid/>
              <w:spacing w:before="0" w:after="0" w:line="240" w:lineRule="auto"/>
              <w:ind w:left="0" w:leftChars="0" w:firstLine="0" w:firstLineChars="0"/>
              <w:jc w:val="center"/>
            </w:pPr>
          </w:p>
        </w:tc>
        <w:tc>
          <w:tcPr>
            <w:tcW w:w="805" w:type="dxa"/>
            <w:gridSpan w:val="3"/>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73885A33">
            <w:pPr>
              <w:widowControl/>
              <w:autoSpaceDE/>
              <w:autoSpaceDN/>
              <w:snapToGrid/>
              <w:spacing w:before="0" w:after="0" w:line="240" w:lineRule="auto"/>
              <w:ind w:left="0" w:leftChars="0" w:firstLine="0" w:firstLineChars="0"/>
              <w:jc w:val="center"/>
              <w:rPr>
                <w:rFonts w:hint="default" w:eastAsiaTheme="minorEastAsia"/>
                <w:lang w:val="en-US" w:eastAsia="zh-CN"/>
              </w:rPr>
            </w:pPr>
            <w:r>
              <w:rPr>
                <w:rFonts w:hint="eastAsia"/>
                <w:lang w:val="en-US" w:eastAsia="zh-CN"/>
              </w:rPr>
              <w:t>1</w:t>
            </w:r>
          </w:p>
        </w:tc>
        <w:tc>
          <w:tcPr>
            <w:tcW w:w="811" w:type="dxa"/>
            <w:tcBorders>
              <w:top w:val="single" w:color="000000" w:sz="6" w:space="0"/>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75CCF6D">
            <w:pPr>
              <w:widowControl/>
              <w:autoSpaceDE/>
              <w:autoSpaceDN/>
              <w:snapToGrid/>
              <w:spacing w:before="0" w:after="0" w:line="240" w:lineRule="auto"/>
              <w:ind w:left="0" w:leftChars="0" w:firstLine="0" w:firstLineChars="0"/>
              <w:jc w:val="center"/>
            </w:pPr>
          </w:p>
        </w:tc>
      </w:tr>
      <w:tr w14:paraId="66AE7FC3">
        <w:trPr>
          <w:trHeight w:val="612" w:hRule="atLeast"/>
          <w:jc w:val="center"/>
        </w:trPr>
        <w:tc>
          <w:tcPr>
            <w:tcW w:w="1151" w:type="dxa"/>
            <w:vMerge w:val="continue"/>
            <w:tcBorders>
              <w:left w:val="single" w:color="000000" w:sz="12" w:space="0"/>
              <w:bottom w:val="single" w:color="000000" w:sz="6" w:space="0"/>
              <w:right w:val="single" w:color="000000" w:sz="6" w:space="0"/>
            </w:tcBorders>
            <w:noWrap w:val="0"/>
            <w:tcMar>
              <w:top w:w="0" w:type="dxa"/>
              <w:left w:w="108" w:type="dxa"/>
              <w:bottom w:w="0" w:type="dxa"/>
              <w:right w:w="108" w:type="dxa"/>
            </w:tcMar>
            <w:vAlign w:val="center"/>
          </w:tcPr>
          <w:p w14:paraId="63E4FE53">
            <w:pPr>
              <w:widowControl/>
              <w:autoSpaceDE/>
              <w:autoSpaceDN/>
              <w:snapToGrid/>
              <w:spacing w:before="0" w:after="0" w:line="240" w:lineRule="auto"/>
              <w:ind w:left="0" w:firstLine="0"/>
              <w:jc w:val="cente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40695D22">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优良率</w:t>
            </w:r>
          </w:p>
          <w:p w14:paraId="4C994F7A">
            <w:pPr>
              <w:widowControl/>
              <w:autoSpaceDE/>
              <w:autoSpaceDN/>
              <w:snapToGrid/>
              <w:spacing w:before="0" w:after="0" w:line="240" w:lineRule="auto"/>
              <w:ind w:left="0" w:firstLine="0"/>
              <w:jc w:val="center"/>
              <w:rPr>
                <w:rFonts w:hint="eastAsia" w:ascii="宋体" w:hAnsi="宋体" w:eastAsia="宋体"/>
                <w:w w:val="100"/>
                <w:sz w:val="20"/>
                <w:lang w:val="en-US" w:eastAsia="zh-CN"/>
              </w:rPr>
            </w:pPr>
            <w:r>
              <w:rPr>
                <w:rFonts w:hint="eastAsia" w:ascii="宋体" w:hAnsi="宋体" w:eastAsia="宋体"/>
                <w:w w:val="100"/>
                <w:sz w:val="20"/>
                <w:lang w:val="en-US" w:eastAsia="zh-CN"/>
              </w:rPr>
              <w:t>（A+B）</w:t>
            </w: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3C0B1363">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3"/>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2484BA6A">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及格率</w:t>
            </w: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4CF6EEC4">
            <w:pPr>
              <w:widowControl/>
              <w:autoSpaceDE/>
              <w:autoSpaceDN/>
              <w:snapToGrid/>
              <w:spacing w:before="0" w:after="0" w:line="240" w:lineRule="auto"/>
              <w:jc w:val="center"/>
              <w:rPr>
                <w:rFonts w:hint="eastAsia" w:ascii="宋体" w:hAnsi="宋体" w:eastAsia="宋体"/>
                <w:w w:val="100"/>
                <w:sz w:val="20"/>
                <w:lang w:val="en-US" w:eastAsia="zh-CN"/>
              </w:rPr>
            </w:pPr>
          </w:p>
        </w:tc>
        <w:tc>
          <w:tcPr>
            <w:tcW w:w="1350" w:type="dxa"/>
            <w:gridSpan w:val="4"/>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DD2FFE6">
            <w:pPr>
              <w:widowControl/>
              <w:autoSpaceDE/>
              <w:autoSpaceDN/>
              <w:snapToGrid/>
              <w:spacing w:before="0" w:after="0" w:line="240" w:lineRule="auto"/>
              <w:jc w:val="center"/>
              <w:rPr>
                <w:rFonts w:hint="default" w:ascii="宋体" w:hAnsi="宋体" w:eastAsia="宋体"/>
                <w:w w:val="100"/>
                <w:sz w:val="20"/>
                <w:lang w:val="en-US" w:eastAsia="zh-CN"/>
              </w:rPr>
            </w:pPr>
            <w:r>
              <w:rPr>
                <w:rFonts w:hint="eastAsia" w:ascii="宋体" w:hAnsi="宋体" w:eastAsia="宋体"/>
                <w:w w:val="100"/>
                <w:sz w:val="20"/>
                <w:lang w:val="en-US" w:eastAsia="zh-CN"/>
              </w:rPr>
              <w:t>不及格率</w:t>
            </w:r>
          </w:p>
        </w:tc>
        <w:tc>
          <w:tcPr>
            <w:tcW w:w="1354" w:type="dxa"/>
            <w:gridSpan w:val="2"/>
            <w:tcBorders>
              <w:left w:val="single" w:color="000000" w:sz="6" w:space="0"/>
              <w:bottom w:val="single" w:color="000000" w:sz="6" w:space="0"/>
              <w:right w:val="single" w:color="000000" w:sz="12" w:space="0"/>
            </w:tcBorders>
            <w:noWrap w:val="0"/>
            <w:tcMar>
              <w:top w:w="0" w:type="dxa"/>
              <w:left w:w="108" w:type="dxa"/>
              <w:bottom w:w="0" w:type="dxa"/>
              <w:right w:w="108" w:type="dxa"/>
            </w:tcMar>
            <w:vAlign w:val="center"/>
          </w:tcPr>
          <w:p w14:paraId="02BC12D1">
            <w:pPr>
              <w:widowControl/>
              <w:autoSpaceDE/>
              <w:autoSpaceDN/>
              <w:snapToGrid/>
              <w:spacing w:before="0" w:after="0" w:line="240" w:lineRule="auto"/>
              <w:jc w:val="center"/>
              <w:rPr>
                <w:rFonts w:hint="eastAsia" w:ascii="宋体" w:hAnsi="宋体" w:eastAsia="宋体"/>
                <w:w w:val="100"/>
                <w:sz w:val="20"/>
                <w:lang w:val="en-US" w:eastAsia="zh-CN"/>
              </w:rPr>
            </w:pPr>
          </w:p>
        </w:tc>
      </w:tr>
    </w:tbl>
    <w:p w14:paraId="7475570F">
      <w:pPr>
        <w:numPr>
          <w:ilvl w:val="0"/>
          <w:numId w:val="0"/>
        </w:numPr>
        <w:jc w:val="both"/>
        <w:rPr>
          <w:rFonts w:hint="eastAsia"/>
          <w:b/>
          <w:bCs/>
          <w:sz w:val="28"/>
          <w:szCs w:val="28"/>
          <w:lang w:val="en-US" w:eastAsia="zh-CN"/>
        </w:rPr>
      </w:pPr>
    </w:p>
    <w:p w14:paraId="57A6D4AD">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考查内容分析（包含亮点）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53851D4">
        <w:tc>
          <w:tcPr>
            <w:tcW w:w="8522" w:type="dxa"/>
          </w:tcPr>
          <w:p w14:paraId="4344E8B8">
            <w:pPr>
              <w:bidi w:val="0"/>
              <w:rPr>
                <w:rFonts w:hint="eastAsia" w:asciiTheme="minorEastAsia" w:hAnsiTheme="minorEastAsia" w:eastAsiaTheme="minorEastAsia" w:cstheme="minorEastAsia"/>
                <w:b/>
                <w:bCs/>
                <w:lang w:val="en-US" w:eastAsia="zh-CN"/>
              </w:rPr>
            </w:pPr>
          </w:p>
          <w:p w14:paraId="643C799C">
            <w:pPr>
              <w:bidi w:val="0"/>
              <w:rPr>
                <w:rFonts w:hint="default"/>
                <w:lang w:val="en-US" w:eastAsia="zh-CN"/>
              </w:rPr>
            </w:pPr>
            <w:r>
              <w:rPr>
                <w:rFonts w:hint="default"/>
                <w:lang w:val="en-US" w:eastAsia="zh-CN"/>
              </w:rPr>
              <w:t>以下是对这段关于八年级网页综合知识制作《网上购物》测试情况的分析总结：</w:t>
            </w:r>
          </w:p>
          <w:p w14:paraId="2A788118">
            <w:pPr>
              <w:bidi w:val="0"/>
              <w:rPr>
                <w:rFonts w:hint="default"/>
                <w:lang w:val="en-US" w:eastAsia="zh-CN"/>
              </w:rPr>
            </w:pPr>
            <w:r>
              <w:rPr>
                <w:rFonts w:hint="default"/>
                <w:lang w:val="en-US" w:eastAsia="zh-CN"/>
              </w:rPr>
              <w:t>测试形式</w:t>
            </w:r>
          </w:p>
          <w:p w14:paraId="3FD222C2">
            <w:pPr>
              <w:bidi w:val="0"/>
              <w:rPr>
                <w:rFonts w:hint="default"/>
                <w:lang w:val="en-US" w:eastAsia="zh-CN"/>
              </w:rPr>
            </w:pPr>
            <w:r>
              <w:rPr>
                <w:rFonts w:hint="default"/>
                <w:lang w:val="en-US" w:eastAsia="zh-CN"/>
              </w:rPr>
              <w:t>鉴于本学期 FrontPage 软件使用的学习内容，本次测试采用上机操作的方式进行，教师提供包含半成品文件与待加工素材的《网上购物》作品，要求学生围绕信息分析、加工、创新与利用来完成相关任务。</w:t>
            </w:r>
          </w:p>
          <w:p w14:paraId="3308B21D">
            <w:pPr>
              <w:bidi w:val="0"/>
              <w:rPr>
                <w:rFonts w:hint="default"/>
                <w:lang w:val="en-US" w:eastAsia="zh-CN"/>
              </w:rPr>
            </w:pPr>
            <w:r>
              <w:rPr>
                <w:rFonts w:hint="default"/>
                <w:lang w:val="en-US" w:eastAsia="zh-CN"/>
              </w:rPr>
              <w:t>整体表现的优点</w:t>
            </w:r>
          </w:p>
          <w:p w14:paraId="70A9F954">
            <w:pPr>
              <w:bidi w:val="0"/>
              <w:rPr>
                <w:rFonts w:hint="default"/>
                <w:lang w:val="en-US" w:eastAsia="zh-CN"/>
              </w:rPr>
            </w:pPr>
            <w:r>
              <w:rPr>
                <w:rFonts w:hint="default"/>
                <w:lang w:val="en-US" w:eastAsia="zh-CN"/>
              </w:rPr>
              <w:t>按时按质完成：学生能够按照要求，按时且保证质量地完成检测任务。</w:t>
            </w:r>
          </w:p>
          <w:p w14:paraId="0FA54BE8">
            <w:pPr>
              <w:bidi w:val="0"/>
              <w:rPr>
                <w:rFonts w:hint="default"/>
                <w:lang w:val="en-US" w:eastAsia="zh-CN"/>
              </w:rPr>
            </w:pPr>
            <w:r>
              <w:rPr>
                <w:rFonts w:hint="default"/>
                <w:lang w:val="en-US" w:eastAsia="zh-CN"/>
              </w:rPr>
              <w:t>技能有所提升：熟练掌握制作网页的基本技能操作，在获取、分析以及处理信息方面的能力均有提高，且较好地掌握了从网络中获取信息的方法，还能灵活运用所学知识举一反三，完成试卷检测要求。</w:t>
            </w:r>
          </w:p>
          <w:p w14:paraId="7779B141">
            <w:pPr>
              <w:bidi w:val="0"/>
              <w:rPr>
                <w:rFonts w:hint="default"/>
                <w:lang w:val="en-US" w:eastAsia="zh-CN"/>
              </w:rPr>
            </w:pPr>
            <w:r>
              <w:rPr>
                <w:rFonts w:hint="default"/>
                <w:lang w:val="en-US" w:eastAsia="zh-CN"/>
              </w:rPr>
              <w:t>存在的问题</w:t>
            </w:r>
          </w:p>
          <w:p w14:paraId="0161F927">
            <w:pPr>
              <w:bidi w:val="0"/>
              <w:rPr>
                <w:rFonts w:hint="default"/>
                <w:lang w:val="en-US" w:eastAsia="zh-CN"/>
              </w:rPr>
            </w:pPr>
            <w:r>
              <w:rPr>
                <w:rFonts w:hint="default"/>
                <w:lang w:val="en-US" w:eastAsia="zh-CN"/>
              </w:rPr>
              <w:t>审题与粗心问题：部分学生审题不清，未看清试卷要求，出现错误操作以及漏题现象，在检测过程中因粗心大意导致失分，后续需加强相关训练。</w:t>
            </w:r>
          </w:p>
          <w:p w14:paraId="7C6636D5">
            <w:pPr>
              <w:bidi w:val="0"/>
              <w:rPr>
                <w:rFonts w:hint="default"/>
                <w:lang w:val="en-US" w:eastAsia="zh-CN"/>
              </w:rPr>
            </w:pPr>
            <w:r>
              <w:rPr>
                <w:rFonts w:hint="default"/>
                <w:lang w:val="en-US" w:eastAsia="zh-CN"/>
              </w:rPr>
              <w:t>知识遗忘问题：一些学生在平时教学练习中能操作的题目，在此次检测中却出现失分情况，主要源于知识遗忘，提示教师在今后教学中要重视帮助学生在头脑中建立系统的知识建构。</w:t>
            </w:r>
          </w:p>
          <w:p w14:paraId="1302631B">
            <w:pPr>
              <w:bidi w:val="0"/>
              <w:rPr>
                <w:rFonts w:hint="default"/>
                <w:lang w:val="en-US" w:eastAsia="zh-CN"/>
              </w:rPr>
            </w:pPr>
            <w:r>
              <w:rPr>
                <w:rFonts w:hint="default"/>
                <w:lang w:val="en-US" w:eastAsia="zh-CN"/>
              </w:rPr>
              <w:t>不同层次学生情况</w:t>
            </w:r>
          </w:p>
          <w:p w14:paraId="1EA9C4D1">
            <w:pPr>
              <w:bidi w:val="0"/>
              <w:rPr>
                <w:rFonts w:hint="default"/>
                <w:lang w:val="en-US" w:eastAsia="zh-CN"/>
              </w:rPr>
            </w:pPr>
            <w:r>
              <w:rPr>
                <w:rFonts w:hint="default"/>
                <w:lang w:val="en-US" w:eastAsia="zh-CN"/>
              </w:rPr>
              <w:t>学优生：能完全按要求准确无误完成试题，平时上机操作积极，熟练掌握 FrontPage 软件基本操作技能，像对半成品网页进行加工处理（创建图表、插入图片、建链接、排版等）时得心应手，且能灵活综合利用所学知识，页面布局合理、制作精致。</w:t>
            </w:r>
          </w:p>
          <w:p w14:paraId="4B635F96">
            <w:pPr>
              <w:bidi w:val="0"/>
              <w:rPr>
                <w:rFonts w:hint="default"/>
                <w:lang w:val="en-US" w:eastAsia="zh-CN"/>
              </w:rPr>
            </w:pPr>
            <w:r>
              <w:rPr>
                <w:rFonts w:hint="default"/>
                <w:lang w:val="en-US" w:eastAsia="zh-CN"/>
              </w:rPr>
              <w:t>中等生：基本上能按要求完成试题，对 FrontPage 知识掌握较好，但综合运用能力存在欠缺，具备上网搜集资料的能力，不过搜集资料的速度与技巧还有待提高。</w:t>
            </w:r>
          </w:p>
          <w:p w14:paraId="7788FB47">
            <w:pPr>
              <w:bidi w:val="0"/>
              <w:rPr>
                <w:rFonts w:hint="default"/>
                <w:lang w:val="en-US" w:eastAsia="zh-CN"/>
              </w:rPr>
            </w:pPr>
            <w:r>
              <w:rPr>
                <w:rFonts w:hint="default"/>
                <w:lang w:val="en-US" w:eastAsia="zh-CN"/>
              </w:rPr>
              <w:t>及格生：通过此次测试既了解了学生的学习状态，也检验了教学效果，不过出现失分情况，追根溯源主要是知识遗忘问题，例如做网页前忽略先建站导致图片和链接无法显示，以及用复制图片取代插入图片致使图片无法正常显示等，这些是差生普遍存在的问题。</w:t>
            </w:r>
          </w:p>
          <w:p w14:paraId="08C03F2F">
            <w:pPr>
              <w:bidi w:val="0"/>
              <w:rPr>
                <w:rFonts w:hint="default"/>
                <w:lang w:val="en-US" w:eastAsia="zh-CN"/>
              </w:rPr>
            </w:pPr>
          </w:p>
        </w:tc>
      </w:tr>
    </w:tbl>
    <w:p w14:paraId="11AA346E">
      <w:pPr>
        <w:numPr>
          <w:ilvl w:val="0"/>
          <w:numId w:val="0"/>
        </w:numPr>
        <w:ind w:leftChars="0"/>
        <w:jc w:val="both"/>
        <w:rPr>
          <w:rFonts w:hint="default"/>
          <w:b/>
          <w:bCs/>
          <w:sz w:val="28"/>
          <w:szCs w:val="28"/>
          <w:lang w:val="en-US" w:eastAsia="zh-CN"/>
        </w:rPr>
      </w:pPr>
    </w:p>
    <w:p w14:paraId="415B4DEB">
      <w:pPr>
        <w:numPr>
          <w:ilvl w:val="0"/>
          <w:numId w:val="1"/>
        </w:numPr>
        <w:ind w:left="0" w:leftChars="0" w:firstLine="0" w:firstLineChars="0"/>
        <w:jc w:val="center"/>
        <w:rPr>
          <w:rFonts w:hint="eastAsia"/>
          <w:b/>
          <w:bCs/>
          <w:sz w:val="28"/>
          <w:szCs w:val="28"/>
          <w:lang w:val="en-US" w:eastAsia="zh-CN"/>
        </w:rPr>
      </w:pPr>
      <w:r>
        <w:rPr>
          <w:rFonts w:hint="eastAsia"/>
          <w:b/>
          <w:bCs/>
          <w:sz w:val="28"/>
          <w:szCs w:val="28"/>
          <w:lang w:val="en-US" w:eastAsia="zh-CN"/>
        </w:rPr>
        <w:t>教学反思及改进措施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C297518">
        <w:tc>
          <w:tcPr>
            <w:tcW w:w="8522" w:type="dxa"/>
          </w:tcPr>
          <w:p w14:paraId="782B6751">
            <w:pPr>
              <w:bidi w:val="0"/>
              <w:rPr>
                <w:rFonts w:hint="default"/>
                <w:b/>
                <w:bCs/>
                <w:lang w:val="en-US" w:eastAsia="zh-CN"/>
              </w:rPr>
            </w:pPr>
          </w:p>
          <w:p w14:paraId="7891FDEA">
            <w:pPr>
              <w:bidi w:val="0"/>
              <w:rPr>
                <w:rFonts w:hint="default"/>
                <w:b/>
                <w:bCs/>
                <w:lang w:val="en-US" w:eastAsia="zh-CN"/>
              </w:rPr>
            </w:pPr>
            <w:r>
              <w:rPr>
                <w:rFonts w:hint="default"/>
                <w:b/>
                <w:bCs/>
                <w:lang w:val="en-US" w:eastAsia="zh-CN"/>
              </w:rPr>
              <w:t>教学反思及改进措施总结如下</w:t>
            </w:r>
          </w:p>
          <w:p w14:paraId="77290EDC">
            <w:pPr>
              <w:bidi w:val="0"/>
              <w:rPr>
                <w:rFonts w:hint="default"/>
                <w:b/>
                <w:bCs/>
                <w:lang w:val="en-US" w:eastAsia="zh-CN"/>
              </w:rPr>
            </w:pPr>
          </w:p>
          <w:p w14:paraId="0B87810B">
            <w:pPr>
              <w:numPr>
                <w:ilvl w:val="0"/>
                <w:numId w:val="2"/>
              </w:numPr>
              <w:bidi w:val="0"/>
              <w:ind w:left="420" w:leftChars="0" w:hanging="420" w:firstLineChars="0"/>
              <w:rPr>
                <w:rFonts w:hint="default"/>
              </w:rPr>
            </w:pPr>
            <w:r>
              <w:rPr>
                <w:rFonts w:hint="default"/>
                <w:lang w:val="en-US" w:eastAsia="zh-CN"/>
              </w:rPr>
              <w:t>注重平时知识的积累，加强课内外的融合。教师不要局限课堂教学，要注重知识的拓展和延伸，注重知识的运用，让学生在生活中去学，去用，使学生的个性能真正得以发展。</w:t>
            </w:r>
          </w:p>
          <w:p w14:paraId="1D36EB48">
            <w:pPr>
              <w:numPr>
                <w:ilvl w:val="0"/>
                <w:numId w:val="2"/>
              </w:numPr>
              <w:bidi w:val="0"/>
              <w:ind w:left="420" w:leftChars="0" w:hanging="420" w:firstLineChars="0"/>
            </w:pPr>
            <w:r>
              <w:rPr>
                <w:rFonts w:hint="default"/>
                <w:lang w:val="en-US" w:eastAsia="zh-CN"/>
              </w:rPr>
              <w:t>作为信息技术教学，教师应以信息处理为主线，注重培养学生的信息意识和信息的获取、处理、运用能力，提高学生的信息素养。</w:t>
            </w:r>
          </w:p>
          <w:p w14:paraId="630CA05D">
            <w:pPr>
              <w:numPr>
                <w:ilvl w:val="0"/>
                <w:numId w:val="2"/>
              </w:numPr>
              <w:bidi w:val="0"/>
              <w:ind w:left="420" w:leftChars="0" w:hanging="420" w:firstLineChars="0"/>
            </w:pPr>
            <w:r>
              <w:rPr>
                <w:rFonts w:hint="default"/>
                <w:lang w:val="en-US" w:eastAsia="zh-CN"/>
              </w:rPr>
              <w:t>学习信息技术必然少不了要学习网络知识，并且网络的应用在今后学习和操作使用中的作用将越来越大，所以教师应把网络知识贯穿在今后的教学中。</w:t>
            </w:r>
            <w:bookmarkStart w:id="0" w:name="_GoBack"/>
            <w:bookmarkEnd w:id="0"/>
          </w:p>
          <w:p w14:paraId="32672A61">
            <w:pPr>
              <w:numPr>
                <w:ilvl w:val="0"/>
                <w:numId w:val="2"/>
              </w:numPr>
              <w:bidi w:val="0"/>
              <w:ind w:left="420" w:leftChars="0" w:hanging="420" w:firstLineChars="0"/>
              <w:rPr>
                <w:lang w:val="en-US" w:eastAsia="zh-CN"/>
              </w:rPr>
            </w:pPr>
            <w:r>
              <w:rPr>
                <w:lang w:val="en-US" w:eastAsia="zh-CN"/>
              </w:rPr>
              <w:t>在教学活动的组织实施过程中，严格遵循 “从生活中来，到生活中去” 的原则。精心从日常生活、社会热点等领域选取鲜活实例引入课堂，激发学生兴趣与共鸣，让抽象的信息技术知识具象化；随后引导学生运用所学，回归生活去解决实际面临的各类问题，真正实现知识的内化与迁移。与此同时，摒弃传统的死记硬背教学模式，弱化对术语、概念的机械记忆要求，告别枯燥试卷考评方式，着重培养学生利用计算机这一核心工具开展信息收集、利用、交换、共享、制作以及发送等实践操作能力，切实提升学生的信息技术实操水平。</w:t>
            </w:r>
          </w:p>
          <w:p w14:paraId="542BB63F">
            <w:pPr>
              <w:bidi w:val="0"/>
              <w:rPr>
                <w:rFonts w:hint="default"/>
                <w:lang w:val="en-US" w:eastAsia="zh-CN"/>
              </w:rPr>
            </w:pPr>
          </w:p>
        </w:tc>
      </w:tr>
    </w:tbl>
    <w:p w14:paraId="22A8B939">
      <w:pPr>
        <w:numPr>
          <w:ilvl w:val="0"/>
          <w:numId w:val="0"/>
        </w:numPr>
        <w:ind w:leftChars="0"/>
        <w:jc w:val="both"/>
        <w:rPr>
          <w:rFonts w:hint="default"/>
          <w:b/>
          <w:bCs/>
          <w:sz w:val="28"/>
          <w:szCs w:val="28"/>
          <w:lang w:val="en-US" w:eastAsia="zh-CN"/>
        </w:rPr>
      </w:pPr>
    </w:p>
    <w:p w14:paraId="04AF8004">
      <w:pPr>
        <w:numPr>
          <w:ilvl w:val="0"/>
          <w:numId w:val="0"/>
        </w:numPr>
        <w:ind w:leftChars="0"/>
        <w:jc w:val="both"/>
        <w:rPr>
          <w:rFonts w:hint="default"/>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04B36"/>
    <w:multiLevelType w:val="singleLevel"/>
    <w:tmpl w:val="AE104B36"/>
    <w:lvl w:ilvl="0" w:tentative="0">
      <w:start w:val="2"/>
      <w:numFmt w:val="chineseCounting"/>
      <w:suff w:val="nothing"/>
      <w:lvlText w:val="%1、"/>
      <w:lvlJc w:val="left"/>
      <w:rPr>
        <w:rFonts w:hint="eastAsia"/>
      </w:rPr>
    </w:lvl>
  </w:abstractNum>
  <w:abstractNum w:abstractNumId="1">
    <w:nsid w:val="0DD7EA39"/>
    <w:multiLevelType w:val="singleLevel"/>
    <w:tmpl w:val="0DD7EA39"/>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MzYxZWQwMWNhZDc5N2UwYmU1ZmZlZWQ4OTFjNzkifQ=="/>
  </w:docVars>
  <w:rsids>
    <w:rsidRoot w:val="00000000"/>
    <w:rsid w:val="014C20FB"/>
    <w:rsid w:val="252232B2"/>
    <w:rsid w:val="29380AF1"/>
    <w:rsid w:val="2B8F0A9B"/>
    <w:rsid w:val="2F250973"/>
    <w:rsid w:val="317321DC"/>
    <w:rsid w:val="36874A67"/>
    <w:rsid w:val="3A071DF6"/>
    <w:rsid w:val="476807AE"/>
    <w:rsid w:val="51F3539E"/>
    <w:rsid w:val="556C7571"/>
    <w:rsid w:val="55C23E61"/>
    <w:rsid w:val="5B356B09"/>
    <w:rsid w:val="60AC465E"/>
    <w:rsid w:val="60B25FBC"/>
    <w:rsid w:val="64E14B82"/>
    <w:rsid w:val="775F9474"/>
    <w:rsid w:val="BFFF0289"/>
    <w:rsid w:val="EFBF1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1810</Words>
  <Characters>1873</Characters>
  <Lines>0</Lines>
  <Paragraphs>0</Paragraphs>
  <TotalTime>15</TotalTime>
  <ScaleCrop>false</ScaleCrop>
  <LinksUpToDate>false</LinksUpToDate>
  <CharactersWithSpaces>1927</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2021-11-23T11:25:00Z</dcterms:created>
  <dc:creator>admin</dc:creator>
  <cp:lastModifiedBy>Yifang Dai</cp:lastModifiedBy>
  <cp:lastPrinted>2021-11-23T11:26:00Z</cp:lastPrinted>
  <dcterms:modified xsi:type="dcterms:W3CDTF">2025-01-09T09:37:50Z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2052-6.10.2.8397</vt:lpwstr>
  </property>
  <property fmtid="{D5CDD505-2E9C-101B-9397-08002B2CF9AE}" pid="3" name="ICV">
    <vt:lpwstr>99069089FFC8293CBC267F67F36AD385_43</vt:lpwstr>
  </property>
</Properties>
</file>