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Pairs Trading Project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Abstract: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This project involves pairs trading, a market-neutral trading strategy that matches a long position with a short position in a pair of highly correlated instruments. Here, we analyze the pair of stocks: HINDPETRO.NS and LICHSGFIN.NS.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Key Metrics: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Correlation: 0.6346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-Cointegration Test p-value: 0.4261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Performance Metrics: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</w:t>
        <w:tab/>
        <w:tab/>
        <w:t xml:space="preserve"> Mean Squared Error (MSE): 0.000201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</w:t>
        <w:tab/>
        <w:t xml:space="preserve">  </w:t>
        <w:tab/>
        <w:t xml:space="preserve"> R-squared: 0.9174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Drawdown: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Maximum Market Drawdown: -59.25%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Maximum Strategy Drawdown: -28.42%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Returns: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 Final Market Return: -27.62%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 Final Strategy Return: 101.19%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Loading Dataset</w:t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>
          <w:rtl w:val="0"/>
        </w:rPr>
        <w:t xml:space="preserve">The dataset was loaded using the `yfinance` library, which provides historical market data from Yahoo Finance.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Correlation Analysis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A correlation matrix was plotted to identify pairs of stocks with high correlation. The pair selected for this study, HINDPETRO.NS and LICHSGFIN.NS, exhibited a correlation of 0.6346, indicating a moderate positive relationship.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567738" cy="718554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7738" cy="7185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Choosing HINDPETRO.NS and LICHSGFIN.NS: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After choosing HINDPETRO.NS and LICHSGFIN.NS which has a correlation value of 0.63. I loaded their historic data.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7705725" cy="5295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Price Ratio Analysis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  <w:t xml:space="preserve">The price ratio between the two stocks was plotted to visualize the spread. This helps in identifying the mean-reverting behavior essential for pairs trading.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201525" cy="65436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01525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Cointegration Test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Engle-Granger cointegration test was performed to ensure that the selected pairs are cointegrated. The p-value obtained was 0.4261, suggesting that the null hypothesis of no cointegration cannot be rejected.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9872663" cy="491340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72663" cy="4913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Performance Metrics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b w:val="1"/>
          <w:rtl w:val="0"/>
        </w:rPr>
        <w:t xml:space="preserve">Linear Rigression model </w:t>
      </w:r>
      <w:r w:rsidDel="00000000" w:rsidR="00000000" w:rsidRPr="00000000">
        <w:rPr>
          <w:rtl w:val="0"/>
        </w:rPr>
        <w:t xml:space="preserve">I have trained the model on historical data and predict y value on test set.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This is the performance metrics: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Mean Squared Error (MSE):</w:t>
      </w:r>
      <w:r w:rsidDel="00000000" w:rsidR="00000000" w:rsidRPr="00000000">
        <w:rPr>
          <w:rtl w:val="0"/>
        </w:rPr>
        <w:t xml:space="preserve"> The MSE of 0.000201 indicates the average squared difference between the observed and predicted values.</w:t>
      </w:r>
    </w:p>
    <w:p w:rsidR="00000000" w:rsidDel="00000000" w:rsidP="00000000" w:rsidRDefault="00000000" w:rsidRPr="00000000" w14:paraId="0000002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R-squared:</w:t>
      </w:r>
      <w:r w:rsidDel="00000000" w:rsidR="00000000" w:rsidRPr="00000000">
        <w:rPr>
          <w:rtl w:val="0"/>
        </w:rPr>
        <w:t xml:space="preserve"> An R-squared value of 0.9174 indicates that 91.74% of the variability in the dependent variable is explained by the model.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Z-score with Buying and Selling signal: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12030075" cy="67532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Drawdown Analysis</w:t>
      </w:r>
    </w:p>
    <w:p w:rsidR="00000000" w:rsidDel="00000000" w:rsidP="00000000" w:rsidRDefault="00000000" w:rsidRPr="00000000" w14:paraId="0000003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Maximum Market Drawdown:</w:t>
      </w:r>
      <w:r w:rsidDel="00000000" w:rsidR="00000000" w:rsidRPr="00000000">
        <w:rPr>
          <w:rtl w:val="0"/>
        </w:rPr>
        <w:t xml:space="preserve"> The maximum observed loss in market value was -59.25%.</w:t>
      </w:r>
    </w:p>
    <w:p w:rsidR="00000000" w:rsidDel="00000000" w:rsidP="00000000" w:rsidRDefault="00000000" w:rsidRPr="00000000" w14:paraId="0000003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Maximum Strategy Drawdown: </w:t>
      </w:r>
      <w:r w:rsidDel="00000000" w:rsidR="00000000" w:rsidRPr="00000000">
        <w:rPr>
          <w:rtl w:val="0"/>
        </w:rPr>
        <w:t xml:space="preserve">The strategy experienced a maximum drawdown of -28.42%, indicating the largest drop from peak to trough before a new peak is achieved.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811000" cy="69056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690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Return Analysis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Final Market Return:</w:t>
      </w:r>
      <w:r w:rsidDel="00000000" w:rsidR="00000000" w:rsidRPr="00000000">
        <w:rPr>
          <w:rtl w:val="0"/>
        </w:rPr>
        <w:t xml:space="preserve"> The market returned -27.62% over the analysis period.</w:t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Final Strategy Return</w:t>
      </w:r>
      <w:r w:rsidDel="00000000" w:rsidR="00000000" w:rsidRPr="00000000">
        <w:rPr>
          <w:rtl w:val="0"/>
        </w:rPr>
        <w:t xml:space="preserve">: The strategy returned 101.19%, demonstrating the effectiveness of the pairs trading strategy.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096750" cy="6819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Conclusion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The pairs trading strategy implemented on HINDPETRO.NS and LICHSGFIN.NS showed a significant positive return despite the market downturn, proving the strategy's robustness in a declining market. The high R-squared value and moderate correlation, coupled with the substantial strategy return, underscore the potential for pairs trading as a viable trading strategy.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