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A6B" w:rsidRDefault="00380A6B" w:rsidP="00380A6B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Les objectifs et résultats des familles produits</w:t>
      </w:r>
    </w:p>
    <w:p w:rsidR="00380A6B" w:rsidRDefault="00380A6B" w:rsidP="00380A6B">
      <w:r>
        <w:t>On peut se demander comment un magasin réalise une marge sur une famille produit alors que les ventes et le chiffre d’affaires pour cette famille est nulle.</w:t>
      </w:r>
    </w:p>
    <w:p w:rsidR="00380A6B" w:rsidRDefault="00380A6B" w:rsidP="00380A6B">
      <w:r>
        <w:t>Cela concerne les magasins suivants par exemple pour la famille produit four au mois de janvier pour les ventes et le chiffre d’affaires réel.</w:t>
      </w:r>
    </w:p>
    <w:tbl>
      <w:tblPr>
        <w:tblW w:w="1535" w:type="dxa"/>
        <w:tblInd w:w="140" w:type="dxa"/>
        <w:tblCellMar>
          <w:left w:w="70" w:type="dxa"/>
          <w:right w:w="70" w:type="dxa"/>
        </w:tblCellMar>
        <w:tblLook w:val="0000"/>
      </w:tblPr>
      <w:tblGrid>
        <w:gridCol w:w="1535"/>
      </w:tblGrid>
      <w:tr w:rsidR="00380A6B" w:rsidRPr="00380A6B">
        <w:trPr>
          <w:trHeight w:val="258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Angers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Bastia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Bourges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CA2CF5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Cergy </w:t>
            </w:r>
            <w:r w:rsidR="00380A6B" w:rsidRPr="00380A6B">
              <w:rPr>
                <w:rFonts w:ascii="Calibri" w:hAnsi="Calibri"/>
                <w:color w:val="000000"/>
                <w:lang w:eastAsia="fr-FR"/>
              </w:rPr>
              <w:t>Pontoise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Nancy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Nantes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Rouen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CA2CF5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Saint </w:t>
            </w:r>
            <w:r w:rsidR="00380A6B" w:rsidRPr="00380A6B">
              <w:rPr>
                <w:rFonts w:ascii="Calibri" w:hAnsi="Calibri"/>
                <w:color w:val="000000"/>
                <w:lang w:eastAsia="fr-FR"/>
              </w:rPr>
              <w:t>Etienne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Tours</w:t>
            </w:r>
          </w:p>
        </w:tc>
      </w:tr>
    </w:tbl>
    <w:p w:rsidR="00CA2CF5" w:rsidRDefault="00CA2CF5" w:rsidP="00380A6B"/>
    <w:p w:rsidR="00CA2CF5" w:rsidRDefault="00CA2CF5" w:rsidP="00380A6B">
      <w:r>
        <w:t>Récurrence de certains chiffres : des villes obtiennent toujours les mêmes résultats il s’agit des magasins suivant :</w:t>
      </w:r>
    </w:p>
    <w:tbl>
      <w:tblPr>
        <w:tblW w:w="1300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341"/>
      </w:tblGrid>
      <w:tr w:rsidR="00CA2CF5" w:rsidRPr="00CA2CF5" w:rsidT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Nancy</w:t>
            </w:r>
          </w:p>
        </w:tc>
      </w:tr>
      <w:tr w:rsidR="00CA2CF5" w:rsidRPr="00CA2CF5" w:rsidT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Lyon</w:t>
            </w:r>
          </w:p>
        </w:tc>
      </w:tr>
      <w:tr w:rsidR="00CA2CF5" w:rsidRPr="00CA2CF5" w:rsidT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Quimper</w:t>
            </w:r>
          </w:p>
        </w:tc>
      </w:tr>
      <w:tr w:rsidR="00CA2CF5" w:rsidRPr="00CA2CF5" w:rsidT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Toulon</w:t>
            </w:r>
          </w:p>
        </w:tc>
      </w:tr>
      <w:tr w:rsidR="00CA2CF5" w:rsidRPr="00CA2CF5" w:rsidT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Valenciennes</w:t>
            </w:r>
          </w:p>
        </w:tc>
      </w:tr>
    </w:tbl>
    <w:p w:rsidR="00CA2CF5" w:rsidRDefault="00CA2CF5" w:rsidP="00380A6B"/>
    <w:p w:rsidR="00380A6B" w:rsidRPr="00380A6B" w:rsidRDefault="00CA2CF5" w:rsidP="00380A6B">
      <w:r>
        <w:t>Validité des objectifs : des villes ont des objectifs plus importants en janvier qu’en décembre. Cela peut paraître incohérent lorsque l’on sait que le mois de décembre est une période à forte influence. On peut citer les magasins de Nîmes et de Tarbes pour le chiffre d’affaires des fours.</w:t>
      </w:r>
    </w:p>
    <w:p w:rsidR="00CF1184" w:rsidRDefault="00380A6B" w:rsidP="00380A6B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Les marges</w:t>
      </w: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Les valeurs entre les Marges Réelles et les objectifs de départ sont relativement faible il n’y a pas de gros écart :</w:t>
      </w: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CF1184" w:rsidRDefault="00CF1184" w:rsidP="00CF118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Versailles en Avril pour les Fours : R=3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Obj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>= 6</w:t>
      </w:r>
    </w:p>
    <w:p w:rsidR="00CF1184" w:rsidRDefault="00CF1184" w:rsidP="00CF118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Evry en Janvier pour les Fours : R=4,7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Obj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>=7,82</w:t>
      </w:r>
    </w:p>
    <w:p w:rsidR="00CF1184" w:rsidRDefault="00CF1184" w:rsidP="00CF118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St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brieuc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en Septembre et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Novombre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>.</w:t>
      </w: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6952AF" w:rsidRDefault="00CF1184" w:rsidP="00CF1184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Les valeurs dont les objectifs sont </w:t>
      </w:r>
      <w:proofErr w:type="gramStart"/>
      <w:r w:rsidR="006952AF">
        <w:rPr>
          <w:rFonts w:ascii="Arial" w:eastAsia="Times New Roman" w:hAnsi="Arial" w:cs="Arial"/>
          <w:bCs/>
          <w:sz w:val="20"/>
          <w:szCs w:val="20"/>
          <w:lang w:eastAsia="fr-FR"/>
        </w:rPr>
        <w:t>négatifs</w:t>
      </w:r>
      <w:proofErr w:type="gramEnd"/>
      <w:r w:rsidR="006952AF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ou nulles</w:t>
      </w: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sont listées ci-dessous.</w:t>
      </w:r>
    </w:p>
    <w:p w:rsidR="006952AF" w:rsidRPr="006952AF" w:rsidRDefault="006952AF" w:rsidP="00CF1184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Remarque : Il faudrait comparer le Chiffre d’affaire et la marge des magasins pour faire ressortir une contrainte pour limiter l’objectif par rapport au chiffre d’affaire prévu.</w:t>
      </w:r>
    </w:p>
    <w:p w:rsidR="00904644" w:rsidRDefault="0099285D" w:rsidP="00380A6B">
      <w:pPr>
        <w:pStyle w:val="Titre2"/>
      </w:pPr>
      <w:r>
        <w:t>Les</w:t>
      </w:r>
      <w:r w:rsidR="00380A6B">
        <w:t xml:space="preserve"> fours </w:t>
      </w:r>
    </w:p>
    <w:tbl>
      <w:tblPr>
        <w:tblW w:w="11779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11459"/>
        <w:gridCol w:w="160"/>
        <w:gridCol w:w="160"/>
      </w:tblGrid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73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330"/>
              <w:gridCol w:w="1200"/>
              <w:gridCol w:w="1200"/>
            </w:tblGrid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1,19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1186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1,18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1180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0,77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771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0,68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677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-0,02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-20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9,06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9060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5,90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5900</w:t>
                  </w:r>
                </w:p>
              </w:tc>
            </w:tr>
          </w:tbl>
          <w:p w:rsidR="00FF7D7B" w:rsidRPr="00FF7D7B" w:rsidRDefault="00FF7D7B" w:rsidP="00FF7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Ici nous avons u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n problème pour les magasins d’A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ngers puisque la marge R&amp;O est négative ou égale à 0 tout le long</w:t>
            </w: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De l’année. La moyenne étant de 0.</w:t>
            </w: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 magasin de FOIX a lui une margé égale à 0 en décembre.</w:t>
            </w:r>
          </w:p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Les magasin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s dont la marge est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extrêmement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faible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en général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sont :</w:t>
            </w:r>
          </w:p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W w:w="166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660"/>
            </w:tblGrid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Angers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Angouleme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Arras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Bastia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Besancon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Nice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Perigueux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Paris_Nord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Paris_Sud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Melun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Metz</w:t>
                  </w:r>
                </w:p>
              </w:tc>
            </w:tr>
          </w:tbl>
          <w:p w:rsidR="000045E4" w:rsidRDefault="000045E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045E4" w:rsidRDefault="0099285D" w:rsidP="00380A6B">
            <w:pPr>
              <w:pStyle w:val="Titre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Les</w:t>
            </w:r>
            <w:r w:rsidR="00380A6B">
              <w:rPr>
                <w:rFonts w:eastAsia="Times New Roman"/>
                <w:lang w:eastAsia="fr-FR"/>
              </w:rPr>
              <w:t xml:space="preserve"> hifi </w:t>
            </w:r>
          </w:p>
          <w:tbl>
            <w:tblPr>
              <w:tblW w:w="389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490"/>
              <w:gridCol w:w="1200"/>
              <w:gridCol w:w="1200"/>
            </w:tblGrid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1499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1495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0,71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705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0,60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596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0,35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347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0,37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367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4,50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4504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3,90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3900</w:t>
                  </w:r>
                </w:p>
              </w:tc>
            </w:tr>
          </w:tbl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380A6B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Les problèmes concernent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‘objectif de marge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qui est très faible pour le mois de dé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cembre dans plusieurs magasins, cela peut paraître incohérent puisqu’il s’agit d’une période de fêtes où les clients dépensent plus qu’habituellement. En général plus de 25% du chiffre d’affaires de l’année se fait en cette période.</w:t>
            </w:r>
          </w:p>
          <w:p w:rsidR="000045E4" w:rsidRDefault="000045E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W w:w="1564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564"/>
            </w:tblGrid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Grenoble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Chambery</w:t>
                  </w:r>
                  <w:proofErr w:type="spellEnd"/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Quimper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Cergy_Pontoise</w:t>
                  </w:r>
                  <w:proofErr w:type="spellEnd"/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Bourges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Paris_Nord</w:t>
                  </w:r>
                  <w:proofErr w:type="spellEnd"/>
                </w:p>
              </w:tc>
            </w:tr>
          </w:tbl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045E4" w:rsidRDefault="0099285D" w:rsidP="00380A6B">
            <w:pPr>
              <w:pStyle w:val="Titre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Les</w:t>
            </w:r>
            <w:r w:rsidR="00380A6B">
              <w:rPr>
                <w:rFonts w:eastAsia="Times New Roman"/>
                <w:lang w:eastAsia="fr-FR"/>
              </w:rPr>
              <w:t xml:space="preserve"> magnétoscopes</w:t>
            </w:r>
          </w:p>
          <w:tbl>
            <w:tblPr>
              <w:tblW w:w="387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  <w:gridCol w:w="1200"/>
              <w:gridCol w:w="1470"/>
            </w:tblGrid>
            <w:tr w:rsidR="00380A6B" w:rsidRPr="000045E4">
              <w:trPr>
                <w:trHeight w:val="255"/>
              </w:trPr>
              <w:tc>
                <w:tcPr>
                  <w:tcW w:w="38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3730" w:type="dxa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1330"/>
                    <w:gridCol w:w="1200"/>
                    <w:gridCol w:w="1200"/>
                  </w:tblGrid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Moyenne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1,43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1433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Moyenne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1,40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1401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Ecart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0,83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831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Ecart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0,72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716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Min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-0,12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-120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Min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-0,10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-100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Max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8,08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8080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Max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5,60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5600</w:t>
                        </w:r>
                      </w:p>
                    </w:tc>
                  </w:tr>
                </w:tbl>
                <w:p w:rsidR="00380A6B" w:rsidRPr="000045E4" w:rsidRDefault="00380A6B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380A6B" w:rsidRPr="000045E4">
              <w:trPr>
                <w:gridAfter w:val="1"/>
                <w:wAfter w:w="1470" w:type="dxa"/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80A6B" w:rsidRPr="000045E4" w:rsidRDefault="00380A6B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80A6B" w:rsidRPr="000045E4" w:rsidRDefault="00380A6B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0045E4" w:rsidRPr="00FF7D7B" w:rsidRDefault="000045E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380A6B">
            <w:pPr>
              <w:spacing w:after="0" w:line="240" w:lineRule="auto"/>
              <w:ind w:left="-622" w:hanging="622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Les erreurs interviennent au niveau des objectifs au mois de décembre, puisque l’on se retrouve avec une marge négative en objectif.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La marge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réel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 est aussi négative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.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Cela peut être possible si le chiffre d’affaires n’a pas couvert suffisamment les dépenses du mois.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Cette valeur est négative pour les magasin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 suivants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: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Lyon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Clermont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Elle est nulle pour Paris.</w:t>
            </w: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Elle est 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inférieur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à 1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4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00€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en moyenne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dans les magasins suivants :</w:t>
            </w:r>
          </w:p>
          <w:tbl>
            <w:tblPr>
              <w:tblW w:w="2399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2399"/>
            </w:tblGrid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Tours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Tarbes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Angers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Valence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Nancy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Strasbourg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Dijon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Grenoble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Lille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Nantes</w:t>
                  </w:r>
                </w:p>
              </w:tc>
              <w:bookmarkStart w:id="0" w:name="_GoBack"/>
              <w:bookmarkEnd w:id="0"/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Foix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Bobigny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Amiens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Toulon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Arras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Carcassonne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Alencon</w:t>
                  </w:r>
                  <w:proofErr w:type="spellEnd"/>
                </w:p>
              </w:tc>
            </w:tr>
          </w:tbl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53762" w:rsidRPr="00053762" w:rsidRDefault="00053762" w:rsidP="006952AF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053762" w:rsidRDefault="00FF7D7B" w:rsidP="00053762">
            <w:pPr>
              <w:pStyle w:val="Paragraphedeliste"/>
              <w:spacing w:after="0" w:line="240" w:lineRule="auto"/>
              <w:ind w:hanging="10146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:rsidR="00E03297" w:rsidRDefault="00E03297"/>
    <w:p w:rsidR="00E03297" w:rsidRDefault="00E03297" w:rsidP="00E03297">
      <w:pPr>
        <w:pStyle w:val="Titre1"/>
      </w:pPr>
      <w:r>
        <w:t>Les ventes</w:t>
      </w:r>
    </w:p>
    <w:p w:rsidR="00E03297" w:rsidRDefault="00E03297" w:rsidP="00E03297">
      <w:r>
        <w:t>En moyenne une vingtaine de magasins ne respecte pas les objectifs de vente pour chaque famille produits.</w:t>
      </w:r>
    </w:p>
    <w:p w:rsidR="00E03297" w:rsidRDefault="00E03297" w:rsidP="00E03297">
      <w:pPr>
        <w:pStyle w:val="Titre2"/>
      </w:pPr>
      <w:r>
        <w:t>Les fours</w:t>
      </w:r>
    </w:p>
    <w:p w:rsidR="00E03297" w:rsidRDefault="00E03297" w:rsidP="00E03297"/>
    <w:tbl>
      <w:tblPr>
        <w:tblpPr w:leftFromText="141" w:rightFromText="141" w:vertAnchor="text" w:tblpY="1"/>
        <w:tblOverlap w:val="never"/>
        <w:tblW w:w="4982" w:type="dxa"/>
        <w:tblInd w:w="50" w:type="dxa"/>
        <w:tblCellMar>
          <w:left w:w="70" w:type="dxa"/>
          <w:right w:w="70" w:type="dxa"/>
        </w:tblCellMar>
        <w:tblLook w:val="0000"/>
      </w:tblPr>
      <w:tblGrid>
        <w:gridCol w:w="3281"/>
        <w:gridCol w:w="1701"/>
      </w:tblGrid>
      <w:tr w:rsidR="00E03297" w:rsidRPr="00E03297" w:rsidT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Minimum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5</w:t>
            </w:r>
          </w:p>
        </w:tc>
      </w:tr>
      <w:tr w:rsidR="00E03297" w:rsidRPr="00E03297" w:rsidT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Maximum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848</w:t>
            </w:r>
          </w:p>
        </w:tc>
      </w:tr>
      <w:tr w:rsidR="00E03297" w:rsidRPr="00E03297" w:rsidT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Moyenne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147,5625</w:t>
            </w:r>
          </w:p>
        </w:tc>
      </w:tr>
      <w:tr w:rsidR="00E03297" w:rsidRPr="00E03297" w:rsidT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Médiane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112</w:t>
            </w:r>
          </w:p>
        </w:tc>
      </w:tr>
      <w:tr w:rsidR="00E03297" w:rsidRPr="00E03297" w:rsidT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Ecart 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157,0488346</w:t>
            </w:r>
          </w:p>
        </w:tc>
      </w:tr>
      <w:tr w:rsidR="00E03297" w:rsidRPr="00E03297" w:rsidT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Moyenne des écarts à la moyenne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105,4583333</w:t>
            </w:r>
          </w:p>
        </w:tc>
      </w:tr>
    </w:tbl>
    <w:p w:rsidR="00DC712D" w:rsidRDefault="00E03297" w:rsidP="00E03297">
      <w:pPr>
        <w:rPr>
          <w:rFonts w:ascii="Calibri" w:hAnsi="Calibri"/>
          <w:color w:val="000000"/>
        </w:rPr>
      </w:pPr>
      <w:r>
        <w:br w:type="textWrapping" w:clear="all"/>
      </w:r>
      <w:r w:rsidR="00DC712D" w:rsidRPr="00403ADC">
        <w:rPr>
          <w:rFonts w:ascii="Calibri" w:hAnsi="Calibri"/>
          <w:color w:val="000000"/>
        </w:rPr>
        <w:t xml:space="preserve">Aucune vente </w:t>
      </w:r>
      <w:r w:rsidR="00DC712D">
        <w:rPr>
          <w:rFonts w:ascii="Calibri" w:hAnsi="Calibri"/>
          <w:color w:val="000000"/>
        </w:rPr>
        <w:t>n’</w:t>
      </w:r>
      <w:r w:rsidR="00DC712D" w:rsidRPr="00403ADC">
        <w:rPr>
          <w:rFonts w:ascii="Calibri" w:hAnsi="Calibri"/>
          <w:color w:val="000000"/>
        </w:rPr>
        <w:t>est négative.</w:t>
      </w:r>
    </w:p>
    <w:p w:rsidR="00DC712D" w:rsidRDefault="00DC712D" w:rsidP="00E03297">
      <w:pPr>
        <w:rPr>
          <w:rFonts w:ascii="Calibri" w:hAnsi="Calibri"/>
          <w:color w:val="000000"/>
        </w:rPr>
      </w:pPr>
      <w:r w:rsidRPr="00370A6D">
        <w:rPr>
          <w:rFonts w:ascii="Calibri" w:hAnsi="Calibri"/>
          <w:color w:val="000000"/>
        </w:rPr>
        <w:t xml:space="preserve">Contrairement aux autres produits vendus, la moyenne des fours vendus </w:t>
      </w:r>
      <w:r>
        <w:rPr>
          <w:rFonts w:ascii="Calibri" w:hAnsi="Calibri"/>
          <w:color w:val="000000"/>
        </w:rPr>
        <w:t>est beaucoup moins importante (</w:t>
      </w:r>
      <w:r w:rsidRPr="00370A6D">
        <w:rPr>
          <w:rFonts w:ascii="Calibri" w:hAnsi="Calibri"/>
          <w:color w:val="000000"/>
        </w:rPr>
        <w:t>ce qui peut être compréhensible si l'on compare le prix d'un four aux autres produits).</w:t>
      </w:r>
    </w:p>
    <w:p w:rsidR="0099285D" w:rsidRDefault="00DC712D" w:rsidP="00E03297">
      <w:pPr>
        <w:rPr>
          <w:rFonts w:ascii="Calibri" w:hAnsi="Calibri"/>
          <w:color w:val="000000"/>
        </w:rPr>
      </w:pPr>
      <w:r w:rsidRPr="00FC1489">
        <w:rPr>
          <w:rFonts w:ascii="Calibri" w:hAnsi="Calibri"/>
          <w:color w:val="000000"/>
        </w:rPr>
        <w:t>Les ventes sont assez dispersées, avec de nombreux magasins qui n'en vendent aucun, voire 1 ou 2 fours seulement.</w:t>
      </w:r>
    </w:p>
    <w:p w:rsidR="00A71ABA" w:rsidRDefault="0099285D" w:rsidP="0099285D">
      <w:pPr>
        <w:pStyle w:val="Titre2"/>
      </w:pPr>
      <w:r>
        <w:t>Les hifis</w:t>
      </w:r>
    </w:p>
    <w:tbl>
      <w:tblPr>
        <w:tblW w:w="2600" w:type="dxa"/>
        <w:tblInd w:w="50" w:type="dxa"/>
        <w:tblCellMar>
          <w:left w:w="70" w:type="dxa"/>
          <w:right w:w="70" w:type="dxa"/>
        </w:tblCellMar>
        <w:tblLook w:val="0000"/>
      </w:tblPr>
      <w:tblGrid>
        <w:gridCol w:w="1290"/>
        <w:gridCol w:w="1310"/>
      </w:tblGrid>
      <w:tr w:rsidR="00A71ABA" w:rsidRPr="00A71ABA" w:rsidT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Minimum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39</w:t>
            </w:r>
          </w:p>
        </w:tc>
      </w:tr>
      <w:tr w:rsidR="00A71ABA" w:rsidRPr="00A71ABA" w:rsidT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Maximum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833</w:t>
            </w:r>
          </w:p>
        </w:tc>
      </w:tr>
      <w:tr w:rsidR="00A71ABA" w:rsidRPr="00A71ABA" w:rsidT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318,9166667</w:t>
            </w:r>
          </w:p>
        </w:tc>
      </w:tr>
      <w:tr w:rsidR="00A71ABA" w:rsidRPr="00A71ABA" w:rsidT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Médiane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280,5</w:t>
            </w:r>
          </w:p>
        </w:tc>
      </w:tr>
      <w:tr w:rsidR="00A71ABA" w:rsidRPr="00A71ABA" w:rsidT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Ecart type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174,2243398</w:t>
            </w:r>
          </w:p>
        </w:tc>
      </w:tr>
      <w:tr w:rsidR="00A71ABA" w:rsidRPr="00A71ABA" w:rsidT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Moyenne des écarts à la 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128,4027778</w:t>
            </w:r>
          </w:p>
        </w:tc>
      </w:tr>
    </w:tbl>
    <w:p w:rsidR="00A71ABA" w:rsidRPr="00A71ABA" w:rsidRDefault="00A71ABA" w:rsidP="00A71ABA"/>
    <w:p w:rsidR="00A71ABA" w:rsidRDefault="00A71ABA" w:rsidP="00A71ABA"/>
    <w:p w:rsidR="00FF7D7B" w:rsidRPr="00A71ABA" w:rsidRDefault="00A71ABA" w:rsidP="00A71ABA">
      <w:r w:rsidRPr="0001383D">
        <w:rPr>
          <w:rFonts w:ascii="Calibri" w:hAnsi="Calibri"/>
          <w:color w:val="000000"/>
        </w:rPr>
        <w:t>On remarque que les tous les minima sont positifs ou nulles.</w:t>
      </w:r>
    </w:p>
    <w:sectPr w:rsidR="00FF7D7B" w:rsidRPr="00A71ABA" w:rsidSect="00220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12CE"/>
    <w:multiLevelType w:val="hybridMultilevel"/>
    <w:tmpl w:val="5E7AC3BE"/>
    <w:lvl w:ilvl="0" w:tplc="DB562D22">
      <w:numFmt w:val="bullet"/>
      <w:lvlText w:val="-"/>
      <w:lvlJc w:val="left"/>
      <w:pPr>
        <w:ind w:left="720" w:hanging="360"/>
      </w:pPr>
      <w:rPr>
        <w:rFonts w:ascii="Arial" w:eastAsia="Times New Roman" w:hAnsi="Aria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93043"/>
    <w:multiLevelType w:val="hybridMultilevel"/>
    <w:tmpl w:val="B6CC2B46"/>
    <w:lvl w:ilvl="0" w:tplc="DB562D22">
      <w:numFmt w:val="bullet"/>
      <w:lvlText w:val="-"/>
      <w:lvlJc w:val="left"/>
      <w:pPr>
        <w:ind w:left="720" w:hanging="360"/>
      </w:pPr>
      <w:rPr>
        <w:rFonts w:ascii="Arial" w:eastAsia="Times New Roman" w:hAnsi="Aria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savePreviewPicture/>
  <w:compat/>
  <w:rsids>
    <w:rsidRoot w:val="00FF7D7B"/>
    <w:rsid w:val="000045E4"/>
    <w:rsid w:val="00053762"/>
    <w:rsid w:val="000627AE"/>
    <w:rsid w:val="00220170"/>
    <w:rsid w:val="00257D2B"/>
    <w:rsid w:val="00380A6B"/>
    <w:rsid w:val="00555A8F"/>
    <w:rsid w:val="006952AF"/>
    <w:rsid w:val="00904644"/>
    <w:rsid w:val="0099285D"/>
    <w:rsid w:val="00A71ABA"/>
    <w:rsid w:val="00CA2CF5"/>
    <w:rsid w:val="00CF1184"/>
    <w:rsid w:val="00DC712D"/>
    <w:rsid w:val="00E03297"/>
    <w:rsid w:val="00FF7D7B"/>
  </w:rsids>
  <m:mathPr>
    <m:mathFont m:val="Century Schoolboo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20170"/>
  </w:style>
  <w:style w:type="paragraph" w:styleId="Titre1">
    <w:name w:val="heading 1"/>
    <w:basedOn w:val="Normal"/>
    <w:next w:val="Normal"/>
    <w:link w:val="Titre1Car"/>
    <w:uiPriority w:val="9"/>
    <w:qFormat/>
    <w:rsid w:val="00380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0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05376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80A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0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rsid w:val="00E032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513</Words>
  <Characters>2929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SIOUL</dc:creator>
  <cp:keywords/>
  <cp:lastModifiedBy>Laura Requet</cp:lastModifiedBy>
  <cp:revision>6</cp:revision>
  <cp:lastPrinted>2010-11-25T13:16:00Z</cp:lastPrinted>
  <dcterms:created xsi:type="dcterms:W3CDTF">2010-11-21T15:23:00Z</dcterms:created>
  <dcterms:modified xsi:type="dcterms:W3CDTF">2010-11-25T13:34:00Z</dcterms:modified>
</cp:coreProperties>
</file>