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1F497D"/>
          <w:sz w:val="36"/>
        </w:rPr>
        <w:t>张括川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商业化运营 / B端客户运营 / 策略运营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0"/>
        </w:rPr>
        <w:t>📱 18519774788  ｜  📮 zhangkuochuan@126.com  ｜  8年经验  ｜  本科  ｜  30岁</w:t>
      </w:r>
    </w:p>
    <w:p>
      <w:pPr>
        <w:spacing w:before="0" w:after="0"/>
        <w:pBdr>
          <w:bottom w:val="single" w:sz="6" w:space="1" w:color="1F497D"/>
        </w:pBdr>
      </w:pP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1F497D"/>
          <w:sz w:val="24"/>
          <w:u w:val="single"/>
        </w:rPr>
        <w:t>个人优势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在快手直播业务负责头部创作者（主播）的策略运营与流量资源管理，本质是面向B端大客户的运营体系搭建——包括客户分层、资源差异化分配、合作履约机制、激励工具产品化。具备从0到1建立客户运营标准体系的能力，以及在复杂组织中推动跨职能团队（产品+运营+分析）高效协作的管理经验。</w:t>
      </w:r>
    </w:p>
    <w:p>
      <w:pPr>
        <w:spacing w:before="0" w:after="0"/>
        <w:pBdr>
          <w:bottom w:val="single" w:sz="6" w:space="1" w:color="1F497D"/>
        </w:pBdr>
      </w:pP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1F497D"/>
          <w:sz w:val="24"/>
          <w:u w:val="single"/>
        </w:rPr>
        <w:t>工作经历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2"/>
        </w:rPr>
        <w:t>北京快手科技有限公司 | 策略运营经理　　2022.06 — 至今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负责直播业务流量策略运营，管理5人跨职能团队（产品+运营），核心目标：提升平台创作者供给规模与业务毛利率。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19"/>
        </w:rPr>
        <w:t>【类比B端客户运营】快手主播即平台的核心B端客户，流量资源即产品价值交付；工作本质：客户分层管理 + 差异化价值交付 + 合作履约产品化 + 客户成功（主播成长与留存）。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客户分层与差异化服务体系：</w:t>
      </w:r>
      <w:r>
        <w:rPr>
          <w:rFonts w:ascii="微软雅黑" w:hAnsi="微软雅黑" w:eastAsia="微软雅黑"/>
          <w:b w:val="0"/>
          <w:sz w:val="21"/>
        </w:rPr>
        <w:t>基于主播生命周期（头部/中腰部/尾部/新小品类）建立分层运营策略，差异化满足排面、涨粉、保量、履约四类核心诉求，覆盖平台全量主播群体；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合作工具产品化：</w:t>
      </w:r>
      <w:r>
        <w:rPr>
          <w:rFonts w:ascii="微软雅黑" w:hAnsi="微软雅黑" w:eastAsia="微软雅黑"/>
          <w:b w:val="0"/>
          <w:sz w:val="21"/>
        </w:rPr>
        <w:t>主导设计并商业化差异化流量合作工具，将履约机制产品化，通过产品力累计贡献平台流水 [X亿元]，填补平台创作者运营管理工具空白；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合作履约机制建设：</w:t>
      </w:r>
      <w:r>
        <w:rPr>
          <w:rFonts w:ascii="微软雅黑" w:hAnsi="微软雅黑" w:eastAsia="微软雅黑"/>
          <w:b w:val="0"/>
          <w:sz w:val="21"/>
        </w:rPr>
        <w:t>从0到1建立合作申请-执行-复盘机制，设计政策/活动/任务三级梯度场景，搭建监控驾驶舱，实现资源投资效率提升 +13%；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运营体系标准化：</w:t>
      </w:r>
      <w:r>
        <w:rPr>
          <w:rFonts w:ascii="微软雅黑" w:hAnsi="微软雅黑" w:eastAsia="微软雅黑"/>
          <w:b w:val="0"/>
          <w:sz w:val="21"/>
        </w:rPr>
        <w:t>推动主播任务中心建设与批量履约管理，沉淀可复制的 go-to-market 方法论，提升客户管理规模化能力。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2"/>
        </w:rPr>
        <w:t>学而思网校 / 一起教育 | 策略运营负责人　　2019.11 — 2022.06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负责拉新运营团队管理，对GMV与销售人效目标负责，管理产品运营、用户运营、经营分析团队，管理团队规模 [X人]。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增长策略：</w:t>
      </w:r>
      <w:r>
        <w:rPr>
          <w:rFonts w:ascii="微软雅黑" w:hAnsi="微软雅黑" w:eastAsia="微软雅黑"/>
          <w:b w:val="0"/>
          <w:sz w:val="21"/>
        </w:rPr>
        <w:t>寒假转化期增长疲软，锚定转化率为核心指标，拆解业务策略并重构绩效方案，整体转化率提升25%；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精细化客户分配：</w:t>
      </w:r>
      <w:r>
        <w:rPr>
          <w:rFonts w:ascii="微软雅黑" w:hAnsi="微软雅黑" w:eastAsia="微软雅黑"/>
          <w:b w:val="0"/>
          <w:sz w:val="21"/>
        </w:rPr>
        <w:t>用户与销售团队双向分层，联动算法+产品差异化分配资源，转化率再提升15%；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经营管控：</w:t>
      </w:r>
      <w:r>
        <w:rPr>
          <w:rFonts w:ascii="微软雅黑" w:hAnsi="微软雅黑" w:eastAsia="微软雅黑"/>
          <w:b w:val="0"/>
          <w:sz w:val="21"/>
        </w:rPr>
        <w:t>管理者绩效与一线单产强关联，控制销售成本占比10%，达成ROI目标。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sz w:val="22"/>
        </w:rPr>
        <w:t>字节跳动 / 尚德在线教育 | 策略运营　　2017.10 — 2019.11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负责获客与变现策略，操盘月花费百万级投放账户，建立分级监控体系。</w:t>
      </w:r>
    </w:p>
    <w:p>
      <w:pPr>
        <w:pStyle w:val="ListBullet"/>
        <w:spacing w:before="20" w:after="20"/>
        <w:ind w:left="288"/>
      </w:pPr>
      <w:r>
        <w:rPr>
          <w:rFonts w:ascii="微软雅黑" w:hAnsi="微软雅黑" w:eastAsia="微软雅黑"/>
          <w:b/>
          <w:sz w:val="21"/>
        </w:rPr>
        <w:t>销售团队管理：</w:t>
      </w:r>
      <w:r>
        <w:rPr>
          <w:rFonts w:ascii="微软雅黑" w:hAnsi="微软雅黑" w:eastAsia="微软雅黑"/>
          <w:b w:val="0"/>
          <w:sz w:val="21"/>
        </w:rPr>
        <w:t>用户分层差异化分配线索，总体转化率提升30%，所带团队月流水500万。</w:t>
      </w:r>
    </w:p>
    <w:p>
      <w:pPr>
        <w:spacing w:before="0" w:after="0"/>
        <w:pBdr>
          <w:bottom w:val="single" w:sz="6" w:space="1" w:color="1F497D"/>
        </w:pBdr>
      </w:pP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1F497D"/>
          <w:sz w:val="24"/>
          <w:u w:val="single"/>
        </w:rPr>
        <w:t>教育经历</w:t>
      </w:r>
    </w:p>
    <w:p>
      <w:pPr>
        <w:spacing w:before="20" w:after="20"/>
      </w:pPr>
      <w:r>
        <w:rPr>
          <w:rFonts w:ascii="微软雅黑" w:hAnsi="微软雅黑" w:eastAsia="微软雅黑"/>
          <w:b w:val="0"/>
          <w:sz w:val="21"/>
        </w:rPr>
        <w:t>河北师范大学　|　本科　|　生物技术　|　2012.09 — 2016.06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