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A7908" w14:textId="77777777" w:rsidR="00501F8A" w:rsidRPr="00040961" w:rsidRDefault="00501F8A" w:rsidP="00501F8A">
      <w:pPr>
        <w:pStyle w:val="Heading1"/>
        <w:numPr>
          <w:ilvl w:val="0"/>
          <w:numId w:val="1"/>
        </w:numPr>
        <w:pBdr>
          <w:bottom w:val="single" w:sz="8" w:space="9" w:color="7030A0"/>
        </w:pBdr>
        <w:ind w:left="426" w:hanging="426"/>
        <w:rPr>
          <w:rFonts w:ascii="RSA Sans Medium" w:eastAsia="MS PGothic" w:hAnsi="RSA Sans Medium" w:cs="Times New Roman"/>
          <w:bCs/>
          <w:caps/>
          <w:sz w:val="28"/>
          <w:szCs w:val="28"/>
          <w:lang w:eastAsia="en-US"/>
        </w:rPr>
      </w:pPr>
      <w:bookmarkStart w:id="0" w:name="_Toc527476946"/>
      <w:r>
        <w:rPr>
          <w:rFonts w:ascii="RSA Sans Medium" w:eastAsia="MS PGothic" w:hAnsi="RSA Sans Medium" w:cs="Times New Roman"/>
          <w:bCs/>
          <w:caps/>
          <w:sz w:val="28"/>
          <w:szCs w:val="28"/>
          <w:lang w:eastAsia="en-US"/>
        </w:rPr>
        <w:t>Technical Description</w:t>
      </w:r>
      <w:bookmarkEnd w:id="0"/>
    </w:p>
    <w:p w14:paraId="6E61CF17" w14:textId="77777777" w:rsidR="00501F8A" w:rsidRDefault="00501F8A" w:rsidP="00501F8A">
      <w:pPr>
        <w:rPr>
          <w:lang w:eastAsia="en-US"/>
        </w:rPr>
      </w:pPr>
      <w:r>
        <w:rPr>
          <w:lang w:eastAsia="en-US"/>
        </w:rPr>
        <w:t>This section describes how data will be loaded in the Data Lake from multiple sources, including structured and unstructured data sources.</w:t>
      </w:r>
    </w:p>
    <w:p w14:paraId="3952A57C" w14:textId="54A6DC8D" w:rsidR="00501F8A" w:rsidRDefault="00501F8A" w:rsidP="00501F8A">
      <w:pPr>
        <w:pStyle w:val="CommentText"/>
        <w:rPr>
          <w:lang w:eastAsia="en-US"/>
        </w:rPr>
      </w:pPr>
      <w:r>
        <w:t xml:space="preserve">Data will be ingested onto the data lake at a frequency to be determined based on business requirement </w:t>
      </w:r>
      <w:r>
        <w:rPr>
          <w:lang w:eastAsia="en-US"/>
        </w:rPr>
        <w:t>An intermediate process will tag the metadata regarding the source and time of ingestion. Tagging will help in faster search and filtering of data.</w:t>
      </w:r>
      <w:r>
        <w:rPr>
          <w:lang w:eastAsia="en-US"/>
        </w:rPr>
        <w:tab/>
      </w:r>
    </w:p>
    <w:p w14:paraId="32A350E7" w14:textId="77777777" w:rsidR="00501F8A" w:rsidRDefault="00501F8A" w:rsidP="00501F8A">
      <w:pPr>
        <w:spacing w:after="0"/>
        <w:rPr>
          <w:lang w:eastAsia="en-US"/>
        </w:rPr>
      </w:pPr>
    </w:p>
    <w:p w14:paraId="3E637301" w14:textId="77777777" w:rsidR="00501F8A" w:rsidRDefault="00501F8A" w:rsidP="00501F8A">
      <w:pPr>
        <w:rPr>
          <w:b/>
          <w:lang w:eastAsia="en-US"/>
        </w:rPr>
      </w:pPr>
      <w:r>
        <w:rPr>
          <w:b/>
          <w:noProof/>
          <w:lang w:val="en-IN" w:eastAsia="en-IN"/>
        </w:rPr>
        <w:drawing>
          <wp:anchor distT="0" distB="0" distL="114300" distR="114300" simplePos="0" relativeHeight="251659264" behindDoc="1" locked="0" layoutInCell="1" allowOverlap="1" wp14:anchorId="3E600A7F" wp14:editId="057F7226">
            <wp:simplePos x="0" y="0"/>
            <wp:positionH relativeFrom="column">
              <wp:posOffset>137900</wp:posOffset>
            </wp:positionH>
            <wp:positionV relativeFrom="paragraph">
              <wp:posOffset>229870</wp:posOffset>
            </wp:positionV>
            <wp:extent cx="5943600" cy="3313430"/>
            <wp:effectExtent l="0" t="0" r="0" b="1270"/>
            <wp:wrapTight wrapText="bothSides">
              <wp:wrapPolygon edited="0">
                <wp:start x="0" y="0"/>
                <wp:lineTo x="0" y="21484"/>
                <wp:lineTo x="21531" y="21484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verall Analytics Architecture 1.5-Data Lake Inbound Feed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lang w:eastAsia="en-US"/>
        </w:rPr>
        <w:t>Data Lake Inbound Feed</w:t>
      </w:r>
    </w:p>
    <w:p w14:paraId="083FB2FA" w14:textId="77777777" w:rsidR="00501F8A" w:rsidRDefault="00501F8A" w:rsidP="00501F8A">
      <w:pPr>
        <w:jc w:val="center"/>
        <w:rPr>
          <w:lang w:eastAsia="en-US"/>
        </w:rPr>
      </w:pPr>
    </w:p>
    <w:p w14:paraId="0EC1CA7C" w14:textId="77777777" w:rsidR="00501F8A" w:rsidRDefault="00501F8A" w:rsidP="00501F8A">
      <w:pPr>
        <w:rPr>
          <w:lang w:eastAsia="en-US"/>
        </w:rPr>
      </w:pPr>
      <w:r>
        <w:rPr>
          <w:lang w:eastAsia="en-US"/>
        </w:rPr>
        <w:t>The following high-level steps will be performed to load the data into the Data Lake:</w:t>
      </w:r>
    </w:p>
    <w:p w14:paraId="3B81AA39" w14:textId="77777777" w:rsidR="00501F8A" w:rsidRDefault="00501F8A" w:rsidP="00501F8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Ingest data from multiple sources via a job scheduler and put it into Storage Area Network.</w:t>
      </w:r>
    </w:p>
    <w:p w14:paraId="786C28DE" w14:textId="77777777" w:rsidR="00501F8A" w:rsidRDefault="00501F8A" w:rsidP="00501F8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 xml:space="preserve">The data from Storage Are network is ingested into the Landing Layer. </w:t>
      </w:r>
    </w:p>
    <w:p w14:paraId="6868B685" w14:textId="77777777" w:rsidR="00501F8A" w:rsidRDefault="00501F8A" w:rsidP="00501F8A">
      <w:pPr>
        <w:pStyle w:val="ListParagraph"/>
        <w:numPr>
          <w:ilvl w:val="0"/>
          <w:numId w:val="3"/>
        </w:numPr>
        <w:rPr>
          <w:lang w:eastAsia="en-US"/>
        </w:rPr>
      </w:pPr>
      <w:r>
        <w:rPr>
          <w:lang w:eastAsia="en-US"/>
        </w:rPr>
        <w:t>A data transformation process will be performed on the Landing Layer data to be used by downstream Systems. Intermediate processes in the data lake will include the following on a high level:</w:t>
      </w:r>
    </w:p>
    <w:p w14:paraId="142EFF7C" w14:textId="77777777" w:rsidR="00501F8A" w:rsidRDefault="00501F8A" w:rsidP="00501F8A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Ensuring no interference amongst data while ingesting from multiple sources</w:t>
      </w:r>
    </w:p>
    <w:p w14:paraId="6A0BF27D" w14:textId="77777777" w:rsidR="00501F8A" w:rsidRDefault="00501F8A" w:rsidP="00501F8A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Validating the integrity of the data</w:t>
      </w:r>
    </w:p>
    <w:p w14:paraId="67629952" w14:textId="77777777" w:rsidR="00501F8A" w:rsidRDefault="00501F8A" w:rsidP="00501F8A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Tagging metadata</w:t>
      </w:r>
    </w:p>
    <w:p w14:paraId="4CA0DEEA" w14:textId="77777777" w:rsidR="00501F8A" w:rsidRDefault="00501F8A" w:rsidP="00501F8A">
      <w:pPr>
        <w:pStyle w:val="ListParagraph"/>
        <w:numPr>
          <w:ilvl w:val="0"/>
          <w:numId w:val="6"/>
        </w:numPr>
        <w:rPr>
          <w:lang w:eastAsia="en-US"/>
        </w:rPr>
      </w:pPr>
      <w:r>
        <w:rPr>
          <w:lang w:eastAsia="en-US"/>
        </w:rPr>
        <w:t>Converting the data into a common file format</w:t>
      </w:r>
    </w:p>
    <w:p w14:paraId="5294A813" w14:textId="77777777" w:rsidR="00501F8A" w:rsidRDefault="00501F8A" w:rsidP="00501F8A">
      <w:pPr>
        <w:pStyle w:val="ListParagraph"/>
        <w:rPr>
          <w:lang w:eastAsia="en-US"/>
        </w:rPr>
      </w:pPr>
    </w:p>
    <w:p w14:paraId="2C00BE6A" w14:textId="77777777" w:rsidR="00501F8A" w:rsidRPr="00C60E57" w:rsidRDefault="00501F8A" w:rsidP="00501F8A">
      <w:pPr>
        <w:pStyle w:val="ListParagraph"/>
        <w:keepNext/>
        <w:keepLines/>
        <w:numPr>
          <w:ilvl w:val="1"/>
          <w:numId w:val="1"/>
        </w:numPr>
        <w:spacing w:before="240" w:after="240" w:line="240" w:lineRule="auto"/>
        <w:outlineLvl w:val="1"/>
        <w:rPr>
          <w:rFonts w:ascii="RSA Sans Medium" w:eastAsia="MS PGothic" w:hAnsi="RSA Sans Medium" w:cs="Times New Roman"/>
          <w:caps/>
          <w:color w:val="660085"/>
          <w:sz w:val="28"/>
          <w:szCs w:val="26"/>
          <w:lang w:eastAsia="en-US"/>
        </w:rPr>
      </w:pPr>
      <w:bookmarkStart w:id="1" w:name="_Toc527049150"/>
      <w:bookmarkStart w:id="2" w:name="_Toc525110783"/>
      <w:bookmarkStart w:id="3" w:name="_Toc525110841"/>
      <w:bookmarkStart w:id="4" w:name="_Toc525111031"/>
      <w:bookmarkStart w:id="5" w:name="_Toc525111403"/>
      <w:bookmarkStart w:id="6" w:name="_Toc525111449"/>
      <w:bookmarkStart w:id="7" w:name="_Toc525111524"/>
      <w:bookmarkStart w:id="8" w:name="_Toc525111568"/>
      <w:bookmarkStart w:id="9" w:name="_Toc525111646"/>
      <w:bookmarkStart w:id="10" w:name="_Toc525111696"/>
      <w:bookmarkStart w:id="11" w:name="_Toc525111769"/>
      <w:bookmarkStart w:id="12" w:name="_Toc525111827"/>
      <w:bookmarkStart w:id="13" w:name="_Toc525111876"/>
      <w:bookmarkStart w:id="14" w:name="_Toc525112000"/>
      <w:bookmarkStart w:id="15" w:name="_Toc525112588"/>
      <w:bookmarkStart w:id="16" w:name="_Toc525112638"/>
      <w:bookmarkStart w:id="17" w:name="_Toc525110784"/>
      <w:bookmarkStart w:id="18" w:name="_Toc525110842"/>
      <w:bookmarkStart w:id="19" w:name="_Toc525111032"/>
      <w:bookmarkStart w:id="20" w:name="_Toc525111404"/>
      <w:bookmarkStart w:id="21" w:name="_Toc525111450"/>
      <w:bookmarkStart w:id="22" w:name="_Toc525111525"/>
      <w:bookmarkStart w:id="23" w:name="_Toc525111569"/>
      <w:bookmarkStart w:id="24" w:name="_Toc525111647"/>
      <w:bookmarkStart w:id="25" w:name="_Toc525111697"/>
      <w:bookmarkStart w:id="26" w:name="_Toc525111770"/>
      <w:bookmarkStart w:id="27" w:name="_Toc525111828"/>
      <w:bookmarkStart w:id="28" w:name="_Toc525111877"/>
      <w:bookmarkStart w:id="29" w:name="_Toc525112001"/>
      <w:bookmarkStart w:id="30" w:name="_Toc525112589"/>
      <w:bookmarkStart w:id="31" w:name="_Toc525112639"/>
      <w:bookmarkStart w:id="32" w:name="_Toc525110785"/>
      <w:bookmarkStart w:id="33" w:name="_Toc525110843"/>
      <w:bookmarkStart w:id="34" w:name="_Toc525111033"/>
      <w:bookmarkStart w:id="35" w:name="_Toc525111405"/>
      <w:bookmarkStart w:id="36" w:name="_Toc525111451"/>
      <w:bookmarkStart w:id="37" w:name="_Toc525111526"/>
      <w:bookmarkStart w:id="38" w:name="_Toc525111570"/>
      <w:bookmarkStart w:id="39" w:name="_Toc525111648"/>
      <w:bookmarkStart w:id="40" w:name="_Toc525111698"/>
      <w:bookmarkStart w:id="41" w:name="_Toc525111771"/>
      <w:bookmarkStart w:id="42" w:name="_Toc525111829"/>
      <w:bookmarkStart w:id="43" w:name="_Toc525111878"/>
      <w:bookmarkStart w:id="44" w:name="_Toc525112002"/>
      <w:bookmarkStart w:id="45" w:name="_Toc525112590"/>
      <w:bookmarkStart w:id="46" w:name="_Toc525112640"/>
      <w:bookmarkStart w:id="47" w:name="_Toc525110786"/>
      <w:bookmarkStart w:id="48" w:name="_Toc525110844"/>
      <w:bookmarkStart w:id="49" w:name="_Toc525111034"/>
      <w:bookmarkStart w:id="50" w:name="_Toc525111406"/>
      <w:bookmarkStart w:id="51" w:name="_Toc525111452"/>
      <w:bookmarkStart w:id="52" w:name="_Toc525111527"/>
      <w:bookmarkStart w:id="53" w:name="_Toc525111571"/>
      <w:bookmarkStart w:id="54" w:name="_Toc525111649"/>
      <w:bookmarkStart w:id="55" w:name="_Toc525111699"/>
      <w:bookmarkStart w:id="56" w:name="_Toc525111772"/>
      <w:bookmarkStart w:id="57" w:name="_Toc525111830"/>
      <w:bookmarkStart w:id="58" w:name="_Toc525111879"/>
      <w:bookmarkStart w:id="59" w:name="_Toc525112003"/>
      <w:bookmarkStart w:id="60" w:name="_Toc525112591"/>
      <w:bookmarkStart w:id="61" w:name="_Toc525112641"/>
      <w:bookmarkStart w:id="62" w:name="_Toc527049155"/>
      <w:bookmarkStart w:id="63" w:name="_Toc527476947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r w:rsidRPr="00C60E57">
        <w:rPr>
          <w:rFonts w:ascii="RSA Sans Medium" w:eastAsia="MS PGothic" w:hAnsi="RSA Sans Medium" w:cs="Times New Roman"/>
          <w:caps/>
          <w:color w:val="660085"/>
          <w:sz w:val="28"/>
          <w:szCs w:val="26"/>
          <w:lang w:eastAsia="en-US"/>
        </w:rPr>
        <w:t>Data Lake</w:t>
      </w:r>
      <w:bookmarkEnd w:id="63"/>
    </w:p>
    <w:p w14:paraId="3395B65C" w14:textId="77777777" w:rsidR="00501F8A" w:rsidRDefault="00501F8A" w:rsidP="00501F8A">
      <w:pPr>
        <w:rPr>
          <w:lang w:eastAsia="en-US"/>
        </w:rPr>
      </w:pPr>
      <w:r>
        <w:rPr>
          <w:lang w:eastAsia="en-US"/>
        </w:rPr>
        <w:t>The types of data stored in the data lake are:</w:t>
      </w:r>
    </w:p>
    <w:p w14:paraId="1181B6B3" w14:textId="77777777" w:rsidR="00501F8A" w:rsidRDefault="00501F8A" w:rsidP="00501F8A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Structured data</w:t>
      </w:r>
    </w:p>
    <w:p w14:paraId="384AAB3F" w14:textId="77777777" w:rsidR="00501F8A" w:rsidRDefault="00501F8A" w:rsidP="00501F8A">
      <w:pPr>
        <w:pStyle w:val="ListParagraph"/>
        <w:numPr>
          <w:ilvl w:val="0"/>
          <w:numId w:val="5"/>
        </w:numPr>
        <w:rPr>
          <w:lang w:eastAsia="en-US"/>
        </w:rPr>
      </w:pPr>
      <w:r>
        <w:rPr>
          <w:lang w:eastAsia="en-US"/>
        </w:rPr>
        <w:t>Unstructured data( out of scope for Release 1)</w:t>
      </w:r>
    </w:p>
    <w:p w14:paraId="23986EE6" w14:textId="77777777" w:rsidR="00501F8A" w:rsidRDefault="00501F8A" w:rsidP="00501F8A">
      <w:pPr>
        <w:rPr>
          <w:lang w:eastAsia="en-US"/>
        </w:rPr>
      </w:pPr>
      <w:r>
        <w:rPr>
          <w:lang w:eastAsia="en-US"/>
        </w:rPr>
        <w:t>The data sources that will be stored in the data lake are as follows:</w:t>
      </w:r>
    </w:p>
    <w:p w14:paraId="29E32D52" w14:textId="77777777" w:rsidR="00501F8A" w:rsidRDefault="00501F8A" w:rsidP="00501F8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lastRenderedPageBreak/>
        <w:t xml:space="preserve">Documents – Optical Character Recognition (OCR) data. Documents which have been converted to text and persist in the data lake. </w:t>
      </w:r>
    </w:p>
    <w:p w14:paraId="0B4E6C5F" w14:textId="77777777" w:rsidR="00501F8A" w:rsidRDefault="00501F8A" w:rsidP="00501F8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Telephony data – Voice to text data. The telephony voice files which have been converted to text and persist in the data lake. </w:t>
      </w:r>
    </w:p>
    <w:p w14:paraId="5AA03A39" w14:textId="77777777" w:rsidR="00501F8A" w:rsidRDefault="00501F8A" w:rsidP="00501F8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 xml:space="preserve">Telematics data – (TIM data) which is received from the Telematics service provider on a daily basis. </w:t>
      </w:r>
    </w:p>
    <w:p w14:paraId="4FE68202" w14:textId="77777777" w:rsidR="00501F8A" w:rsidRDefault="00501F8A" w:rsidP="00501F8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Model Output data. The outputs of the analytical models which will be used for model refinement.</w:t>
      </w:r>
    </w:p>
    <w:p w14:paraId="591676BE" w14:textId="77777777" w:rsidR="00501F8A" w:rsidRDefault="00501F8A" w:rsidP="00501F8A">
      <w:pPr>
        <w:pStyle w:val="ListParagraph"/>
        <w:numPr>
          <w:ilvl w:val="0"/>
          <w:numId w:val="2"/>
        </w:numPr>
        <w:rPr>
          <w:lang w:eastAsia="en-US"/>
        </w:rPr>
      </w:pPr>
      <w:r>
        <w:rPr>
          <w:lang w:eastAsia="en-US"/>
        </w:rPr>
        <w:t>Unstructured data such as video, audio, image and other sources of data that need to be fed into the Analytics Sandbox.</w:t>
      </w:r>
    </w:p>
    <w:p w14:paraId="4DD64611" w14:textId="77777777" w:rsidR="00501F8A" w:rsidRDefault="00501F8A" w:rsidP="00501F8A">
      <w:pPr>
        <w:rPr>
          <w:lang w:eastAsia="en-US"/>
        </w:rPr>
      </w:pPr>
      <w:r>
        <w:rPr>
          <w:lang w:eastAsia="en-US"/>
        </w:rPr>
        <w:t>The first four types of data listed above will persist in the data lake are structured in nature.</w:t>
      </w:r>
      <w:r w:rsidRPr="00D96A62">
        <w:rPr>
          <w:lang w:eastAsia="en-US"/>
        </w:rPr>
        <w:t xml:space="preserve"> </w:t>
      </w:r>
      <w:r>
        <w:rPr>
          <w:lang w:eastAsia="en-US"/>
        </w:rPr>
        <w:t>Additional validation on the data ingested into the data lake will be done to ensure data integrity.</w:t>
      </w:r>
    </w:p>
    <w:p w14:paraId="304ADB5C" w14:textId="77777777" w:rsidR="00501F8A" w:rsidRPr="00AE20EC" w:rsidRDefault="00501F8A" w:rsidP="00501F8A">
      <w:pPr>
        <w:pStyle w:val="ListParagraph"/>
        <w:keepNext/>
        <w:keepLines/>
        <w:numPr>
          <w:ilvl w:val="2"/>
          <w:numId w:val="1"/>
        </w:numPr>
        <w:spacing w:before="240" w:after="240" w:line="240" w:lineRule="auto"/>
        <w:outlineLvl w:val="1"/>
        <w:rPr>
          <w:rFonts w:ascii="RSA Sans Medium" w:eastAsia="MS PGothic" w:hAnsi="RSA Sans Medium" w:cs="Times New Roman"/>
          <w:caps/>
          <w:color w:val="660085"/>
          <w:sz w:val="28"/>
          <w:szCs w:val="26"/>
          <w:lang w:eastAsia="en-US"/>
        </w:rPr>
      </w:pPr>
      <w:bookmarkStart w:id="64" w:name="_Toc527476948"/>
      <w:r>
        <w:rPr>
          <w:noProof/>
          <w:lang w:val="en-IN" w:eastAsia="en-IN"/>
        </w:rPr>
        <w:drawing>
          <wp:anchor distT="0" distB="0" distL="114300" distR="114300" simplePos="0" relativeHeight="251660288" behindDoc="1" locked="0" layoutInCell="1" allowOverlap="1" wp14:anchorId="054ABE47" wp14:editId="1F724C30">
            <wp:simplePos x="0" y="0"/>
            <wp:positionH relativeFrom="column">
              <wp:posOffset>-6350</wp:posOffset>
            </wp:positionH>
            <wp:positionV relativeFrom="paragraph">
              <wp:posOffset>570865</wp:posOffset>
            </wp:positionV>
            <wp:extent cx="6271895" cy="2303145"/>
            <wp:effectExtent l="0" t="0" r="0" b="1905"/>
            <wp:wrapTight wrapText="bothSides">
              <wp:wrapPolygon edited="0">
                <wp:start x="0" y="0"/>
                <wp:lineTo x="0" y="21439"/>
                <wp:lineTo x="21519" y="21439"/>
                <wp:lineTo x="2151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verall Analytics Architecture 1.5-Structured Data Data Lak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71895" cy="2303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RSA Sans Medium" w:eastAsia="MS PGothic" w:hAnsi="RSA Sans Medium" w:cs="Times New Roman"/>
          <w:caps/>
          <w:color w:val="660085"/>
          <w:sz w:val="28"/>
          <w:szCs w:val="26"/>
          <w:lang w:eastAsia="en-US"/>
        </w:rPr>
        <w:t>STRUCTURED</w:t>
      </w:r>
      <w:r w:rsidRPr="00D03C0E">
        <w:rPr>
          <w:rFonts w:ascii="RSA Sans Medium" w:eastAsia="MS PGothic" w:hAnsi="RSA Sans Medium" w:cs="Times New Roman"/>
          <w:caps/>
          <w:color w:val="660085"/>
          <w:sz w:val="28"/>
          <w:szCs w:val="26"/>
          <w:lang w:eastAsia="en-US"/>
        </w:rPr>
        <w:t xml:space="preserve"> Data</w:t>
      </w:r>
      <w:bookmarkEnd w:id="64"/>
    </w:p>
    <w:p w14:paraId="42CE2274" w14:textId="77777777" w:rsidR="00501F8A" w:rsidRDefault="00501F8A" w:rsidP="00501F8A">
      <w:pPr>
        <w:jc w:val="center"/>
        <w:rPr>
          <w:lang w:eastAsia="en-US"/>
        </w:rPr>
      </w:pPr>
    </w:p>
    <w:p w14:paraId="790C814C" w14:textId="77777777" w:rsidR="00501F8A" w:rsidRDefault="00501F8A" w:rsidP="00501F8A">
      <w:pPr>
        <w:rPr>
          <w:lang w:eastAsia="en-US"/>
        </w:rPr>
      </w:pPr>
      <w:r>
        <w:rPr>
          <w:lang w:eastAsia="en-US"/>
        </w:rPr>
        <w:t>The key steps in the data load process to Data Lake are as follows:</w:t>
      </w:r>
    </w:p>
    <w:p w14:paraId="6FC9338C" w14:textId="5746BD42" w:rsidR="00501F8A" w:rsidRDefault="00501F8A" w:rsidP="00501F8A">
      <w:pPr>
        <w:pStyle w:val="CommentText"/>
        <w:numPr>
          <w:ilvl w:val="0"/>
          <w:numId w:val="4"/>
        </w:numPr>
        <w:spacing w:line="300" w:lineRule="auto"/>
      </w:pPr>
      <w:r w:rsidRPr="00A152C7">
        <w:rPr>
          <w:lang w:eastAsia="en-US"/>
        </w:rPr>
        <w:t>Data from multiple data sources will be exported from the external source system</w:t>
      </w:r>
      <w:r>
        <w:rPr>
          <w:lang w:eastAsia="en-US"/>
        </w:rPr>
        <w:t>s</w:t>
      </w:r>
      <w:r w:rsidRPr="00A152C7">
        <w:rPr>
          <w:lang w:eastAsia="en-US"/>
        </w:rPr>
        <w:t xml:space="preserve"> and transferred to </w:t>
      </w:r>
      <w:r>
        <w:rPr>
          <w:lang w:eastAsia="en-US"/>
        </w:rPr>
        <w:t>***</w:t>
      </w:r>
      <w:r w:rsidRPr="00A152C7">
        <w:rPr>
          <w:lang w:eastAsia="en-US"/>
        </w:rPr>
        <w:t xml:space="preserve"> </w:t>
      </w:r>
      <w:r>
        <w:t>and then *** will convert the data into the format required for processing.</w:t>
      </w:r>
      <w:r w:rsidRPr="00F05040">
        <w:t xml:space="preserve"> </w:t>
      </w:r>
      <w:r>
        <w:t>The outputs of this conversion process will be moved to a file share on the SAN for ingestion onto the data lake.</w:t>
      </w:r>
    </w:p>
    <w:p w14:paraId="14CB7447" w14:textId="3B5369B4" w:rsidR="00501F8A" w:rsidRDefault="00501F8A" w:rsidP="00501F8A">
      <w:pPr>
        <w:pStyle w:val="ListParagraph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A </w:t>
      </w:r>
      <w:r>
        <w:t>DataStax file system API job will be invoked to ingest the raw data from the file share on the SAN to the landing area folder. Input data files</w:t>
      </w:r>
      <w:r w:rsidRPr="0008277B">
        <w:t xml:space="preserve"> are not change</w:t>
      </w:r>
      <w:r>
        <w:t>d during this process</w:t>
      </w:r>
      <w:r w:rsidRPr="0008277B">
        <w:t xml:space="preserve">. Data </w:t>
      </w:r>
      <w:r>
        <w:t xml:space="preserve">is </w:t>
      </w:r>
      <w:r w:rsidRPr="0008277B">
        <w:t xml:space="preserve">kept in a logical format that is one-to-one to the source system. </w:t>
      </w:r>
      <w:r>
        <w:rPr>
          <w:lang w:eastAsia="en-US"/>
        </w:rPr>
        <w:t xml:space="preserve">Raw data is kept immutable, and it is not updated or deleted. Processed new incoming data is appended to the existing one.  </w:t>
      </w:r>
    </w:p>
    <w:p w14:paraId="5C38895B" w14:textId="77777777" w:rsidR="00501F8A" w:rsidRDefault="00501F8A" w:rsidP="00501F8A">
      <w:pPr>
        <w:pStyle w:val="BodyText"/>
        <w:numPr>
          <w:ilvl w:val="0"/>
          <w:numId w:val="4"/>
        </w:numPr>
        <w:rPr>
          <w:lang w:eastAsia="en-US"/>
        </w:rPr>
      </w:pPr>
      <w:r>
        <w:rPr>
          <w:lang w:eastAsia="en-US"/>
        </w:rPr>
        <w:t xml:space="preserve">A Spark ETL job will be executed to extract the files from Landing Layer to the Staging layer. </w:t>
      </w:r>
      <w:r w:rsidRPr="0008277B">
        <w:rPr>
          <w:lang w:eastAsia="en-US"/>
        </w:rPr>
        <w:t xml:space="preserve">Data successfully moved to the Staging Layer is removed from the Landing </w:t>
      </w:r>
      <w:r>
        <w:rPr>
          <w:lang w:eastAsia="en-US"/>
        </w:rPr>
        <w:t>Layer</w:t>
      </w:r>
      <w:r w:rsidRPr="0008277B">
        <w:rPr>
          <w:lang w:eastAsia="en-US"/>
        </w:rPr>
        <w:t>.</w:t>
      </w:r>
    </w:p>
    <w:p w14:paraId="7FFA3F6C" w14:textId="60216423" w:rsidR="00501F8A" w:rsidRDefault="00501F8A" w:rsidP="00501F8A">
      <w:pPr>
        <w:pStyle w:val="CommentText"/>
        <w:numPr>
          <w:ilvl w:val="0"/>
          <w:numId w:val="4"/>
        </w:numPr>
        <w:spacing w:line="300" w:lineRule="auto"/>
      </w:pPr>
      <w:r w:rsidRPr="0008277B">
        <w:t xml:space="preserve">While Data is retrieved from the landing area </w:t>
      </w:r>
      <w:r>
        <w:t xml:space="preserve">to </w:t>
      </w:r>
      <w:r w:rsidRPr="0008277B">
        <w:t>the staging area</w:t>
      </w:r>
      <w:r>
        <w:t xml:space="preserve">, the Spark ETL process will convert the raw data file format into </w:t>
      </w:r>
      <w:r w:rsidRPr="0008277B">
        <w:t xml:space="preserve">a format more suitable for data manipulation within the distributed data architecture </w:t>
      </w:r>
      <w:r>
        <w:t xml:space="preserve">.The expected common file format is </w:t>
      </w:r>
      <w:r w:rsidRPr="0008277B">
        <w:t>Avro</w:t>
      </w:r>
      <w:r>
        <w:t>/</w:t>
      </w:r>
      <w:r w:rsidRPr="0008277B">
        <w:t xml:space="preserve"> Parquet</w:t>
      </w:r>
      <w:r>
        <w:t xml:space="preserve"> but will be decided during low level design. </w:t>
      </w:r>
      <w:r w:rsidRPr="0008277B">
        <w:t xml:space="preserve">In the staging layer, data is kept in a physical format that is one-to-one to the originating source system data structures; therefore, modification of existing records </w:t>
      </w:r>
      <w:r>
        <w:t xml:space="preserve">is </w:t>
      </w:r>
      <w:r w:rsidRPr="0008277B">
        <w:t xml:space="preserve">performed as appends. </w:t>
      </w:r>
      <w:r>
        <w:t xml:space="preserve">During this process additional metadata such as </w:t>
      </w:r>
      <w:r>
        <w:rPr>
          <w:lang w:eastAsia="en-US"/>
        </w:rPr>
        <w:t xml:space="preserve">source and time of ingestion </w:t>
      </w:r>
      <w:r>
        <w:t>will also be captured to facilitate querying and retrieval of data.</w:t>
      </w:r>
    </w:p>
    <w:p w14:paraId="29E8CE08" w14:textId="5B07847D" w:rsidR="00877A9A" w:rsidRDefault="00601791">
      <w:r>
        <w:t>Refer below to know how to add metadata to your Azure Data lake using python</w:t>
      </w:r>
    </w:p>
    <w:p w14:paraId="4A7288CD" w14:textId="54E99DE8" w:rsidR="00601791" w:rsidRDefault="00601791">
      <w:hyperlink r:id="rId7" w:history="1">
        <w:r>
          <w:rPr>
            <w:rStyle w:val="Hyperlink"/>
          </w:rPr>
          <w:t>https://towardsdatascience.com/how-to-add-metadata-to-your-azure-data-lake-f8ec2022f50</w:t>
        </w:r>
      </w:hyperlink>
    </w:p>
    <w:p w14:paraId="215BA938" w14:textId="54779E50" w:rsidR="00D14822" w:rsidRDefault="00D14822"/>
    <w:p w14:paraId="0C013C28" w14:textId="266D7CE3" w:rsidR="00D14822" w:rsidRDefault="00D14822"/>
    <w:p w14:paraId="515CC656" w14:textId="2994E956" w:rsidR="00D14822" w:rsidRDefault="00D14822">
      <w:r>
        <w:t xml:space="preserve">Waterline : </w:t>
      </w:r>
    </w:p>
    <w:p w14:paraId="50C83F2A" w14:textId="0438E453" w:rsidR="00D14822" w:rsidRDefault="00D14822">
      <w:hyperlink r:id="rId8" w:history="1">
        <w:r>
          <w:rPr>
            <w:rStyle w:val="Hyperlink"/>
          </w:rPr>
          <w:t>http://docs4211.waterlinedata.com/azure-marketplace$WLD_newHDI</w:t>
        </w:r>
      </w:hyperlink>
      <w:bookmarkStart w:id="65" w:name="_GoBack"/>
      <w:bookmarkEnd w:id="65"/>
    </w:p>
    <w:sectPr w:rsidR="00D148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RSA Sans Medium">
    <w:altName w:val="Times New Roman"/>
    <w:charset w:val="00"/>
    <w:family w:val="auto"/>
    <w:pitch w:val="variable"/>
    <w:sig w:usb0="00000001" w:usb1="4000204A" w:usb2="00000000" w:usb3="00000000" w:csb0="00000003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8A0985"/>
    <w:multiLevelType w:val="hybridMultilevel"/>
    <w:tmpl w:val="E7ECC9F8"/>
    <w:lvl w:ilvl="0" w:tplc="C1D0F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966774"/>
    <w:multiLevelType w:val="hybridMultilevel"/>
    <w:tmpl w:val="3D5EA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202B0C"/>
    <w:multiLevelType w:val="multilevel"/>
    <w:tmpl w:val="1AF6A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65816515"/>
    <w:multiLevelType w:val="multilevel"/>
    <w:tmpl w:val="1AF6AC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6A24401B"/>
    <w:multiLevelType w:val="hybridMultilevel"/>
    <w:tmpl w:val="0030947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D9069AF"/>
    <w:multiLevelType w:val="hybridMultilevel"/>
    <w:tmpl w:val="AEEAD974"/>
    <w:lvl w:ilvl="0" w:tplc="C1D0FA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F8A"/>
    <w:rsid w:val="00075A8A"/>
    <w:rsid w:val="00501F8A"/>
    <w:rsid w:val="00601791"/>
    <w:rsid w:val="00D14822"/>
    <w:rsid w:val="00EA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B86CE"/>
  <w15:chartTrackingRefBased/>
  <w15:docId w15:val="{FCE0839E-91F2-450D-98F0-E0A0E655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01F8A"/>
    <w:pPr>
      <w:spacing w:after="120" w:line="300" w:lineRule="auto"/>
    </w:pPr>
    <w:rPr>
      <w:rFonts w:ascii="Times New Roman" w:eastAsiaTheme="minorEastAsia" w:hAnsi="Times New Roman"/>
      <w:sz w:val="20"/>
      <w:szCs w:val="20"/>
      <w:lang w:val="en-GB"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1F8A"/>
    <w:pPr>
      <w:keepNext/>
      <w:keepLines/>
      <w:pBdr>
        <w:bottom w:val="single" w:sz="8" w:space="0" w:color="7030A0"/>
      </w:pBdr>
      <w:spacing w:after="200"/>
      <w:outlineLvl w:val="0"/>
    </w:pPr>
    <w:rPr>
      <w:rFonts w:eastAsiaTheme="majorEastAsia" w:cstheme="majorBidi"/>
      <w:color w:val="660085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8A"/>
    <w:rPr>
      <w:rFonts w:ascii="Times New Roman" w:eastAsiaTheme="majorEastAsia" w:hAnsi="Times New Roman" w:cstheme="majorBidi"/>
      <w:color w:val="660085"/>
      <w:sz w:val="36"/>
      <w:szCs w:val="36"/>
      <w:lang w:val="en-GB" w:eastAsia="ja-JP"/>
    </w:rPr>
  </w:style>
  <w:style w:type="paragraph" w:styleId="ListParagraph">
    <w:name w:val="List Paragraph"/>
    <w:basedOn w:val="Normal"/>
    <w:uiPriority w:val="34"/>
    <w:unhideWhenUsed/>
    <w:qFormat/>
    <w:rsid w:val="00501F8A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unhideWhenUsed/>
    <w:rsid w:val="00501F8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501F8A"/>
    <w:rPr>
      <w:rFonts w:ascii="Times New Roman" w:eastAsiaTheme="minorEastAsia" w:hAnsi="Times New Roman"/>
      <w:sz w:val="20"/>
      <w:szCs w:val="20"/>
      <w:lang w:val="en-GB" w:eastAsia="ja-JP"/>
    </w:rPr>
  </w:style>
  <w:style w:type="paragraph" w:styleId="BodyText">
    <w:name w:val="Body Text"/>
    <w:basedOn w:val="Normal"/>
    <w:link w:val="BodyTextChar"/>
    <w:uiPriority w:val="99"/>
    <w:unhideWhenUsed/>
    <w:rsid w:val="00501F8A"/>
  </w:style>
  <w:style w:type="character" w:customStyle="1" w:styleId="BodyTextChar">
    <w:name w:val="Body Text Char"/>
    <w:basedOn w:val="DefaultParagraphFont"/>
    <w:link w:val="BodyText"/>
    <w:uiPriority w:val="99"/>
    <w:rsid w:val="00501F8A"/>
    <w:rPr>
      <w:rFonts w:ascii="Times New Roman" w:eastAsiaTheme="minorEastAsia" w:hAnsi="Times New Roman"/>
      <w:sz w:val="20"/>
      <w:szCs w:val="20"/>
      <w:lang w:val="en-GB" w:eastAsia="ja-JP"/>
    </w:rPr>
  </w:style>
  <w:style w:type="character" w:styleId="Hyperlink">
    <w:name w:val="Hyperlink"/>
    <w:basedOn w:val="DefaultParagraphFont"/>
    <w:uiPriority w:val="99"/>
    <w:semiHidden/>
    <w:unhideWhenUsed/>
    <w:rsid w:val="00601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4211.waterlinedata.com/azure-marketplace$WLD_newHD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wardsdatascience.com/how-to-add-metadata-to-your-azure-data-lake-f8ec2022f5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602</Words>
  <Characters>3435</Characters>
  <Application>Microsoft Office Word</Application>
  <DocSecurity>0</DocSecurity>
  <Lines>28</Lines>
  <Paragraphs>8</Paragraphs>
  <ScaleCrop>false</ScaleCrop>
  <Company/>
  <LinksUpToDate>false</LinksUpToDate>
  <CharactersWithSpaces>4029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Jijo Sunny George</dc:creator>
  <cp:keywords/>
  <dc:description/>
  <cp:lastModifiedBy>Mereen Paulose</cp:lastModifiedBy>
  <cp:revision>3</cp:revision>
  <dcterms:created xsi:type="dcterms:W3CDTF">2020-05-15T05:09:00Z</dcterms:created>
  <dcterms:modified xsi:type="dcterms:W3CDTF">2020-05-18T06:27:00Z</dcterms:modified>
</cp:coreProperties>
</file>