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Išsami JAV Rinkos Analizė: AI Agentai Praleistiems Skambučiams Apdoroti</w:t>
      </w:r>
    </w:p>
    <w:p>
      <w:pPr>
        <w:pStyle w:val="MdParagraph"/>
      </w:pPr>
      <w:r>
        <w:rPr>
          <w:rStyle w:val="MdStrong"/>
          <w:b/>
          <w:bCs/>
        </w:rPr>
        <w:t xml:space="preserve">Data:</w:t>
      </w:r>
      <w:r>
        <w:t xml:space="preserve"> 2026 m. vasario 28 d.</w:t>
      </w:r>
    </w:p>
    <w:p>
      <w:pPr>
        <w:pStyle w:val="MdSpace"/>
        <w:spacing w:before="0" w:after="60"/>
      </w:pPr>
    </w:p>
    <w:p>
      <w:pPr>
        <w:pStyle w:val="Heading2"/>
        <w:pStyle w:val="MdHeading2"/>
      </w:pPr>
      <w:r>
        <w:t xml:space="preserve">1. Įvadas ir Projekto Tikslas</w:t>
      </w:r>
    </w:p>
    <w:p>
      <w:pPr>
        <w:pStyle w:val="MdParagraph"/>
      </w:pPr>
      <w:r>
        <w:t xml:space="preserve">Ši ataskaita pateikia išsamią Jungtinių Amerikos Valstijų (JAV) rinkos analizę, skirtą įvertinti verslo galimybes, susijusias su dirbtinio intelekto (AI) agentais. Šie agentai yra sukurti automatizuoti atsakymus į praleistus telefono skambučius, siunčiant SMS žinutes, pradedant pokalbį su klientu ir integruojant susitikimų rezervacijas tiesiai į kalendorių. Analizės tikslas – pateikti aiškų ir duomenimis pagrįstą planą, atsakant į klausimus apie rinkos patrauklumą, pelningumo galimybes, konkurencinę aplinką, tikslines valstijas bei industrijas, kainodarą ir alternatyvias, potencialiai pelningesnes AI produktų kryptis JAV rinkai.</w:t>
      </w:r>
    </w:p>
    <w:p>
      <w:pPr>
        <w:pStyle w:val="MdSpace"/>
        <w:spacing w:before="0" w:after="60"/>
      </w:pPr>
    </w:p>
    <w:p>
      <w:pPr>
        <w:pStyle w:val="MdParagraph"/>
      </w:pPr>
      <w:r>
        <w:t xml:space="preserve">Ataskaita parengta remiantis plačia lygiagrečia rinkos žvalgyba (angl. </w:t>
      </w:r>
      <w:r>
        <w:rPr>
          <w:rStyle w:val="MdEm"/>
          <w:i/>
          <w:iCs/>
        </w:rPr>
        <w:t xml:space="preserve">Wide Research</w:t>
      </w:r>
      <w:r>
        <w:t xml:space="preserve">), apjungiant duomenis iš šešių skirtingų tyrimo sričių, siekiant suteikti holistinį požiūrį į šią verslo nišą.</w:t>
      </w:r>
    </w:p>
    <w:p>
      <w:pPr>
        <w:pStyle w:val="MdSpace"/>
        <w:spacing w:before="0" w:after="60"/>
      </w:pPr>
    </w:p>
    <w:p>
      <w:pPr>
        <w:pStyle w:val="Heading2"/>
        <w:pStyle w:val="MdHeading2"/>
      </w:pPr>
      <w:r>
        <w:t xml:space="preserve">2. Rinkos Dydis, Paklausa ir Augimo Tendencijos</w:t>
      </w:r>
    </w:p>
    <w:p>
      <w:pPr>
        <w:pStyle w:val="MdParagraph"/>
      </w:pPr>
      <w:r>
        <w:t xml:space="preserve">JAV rinka demonstruoja didelį ir augantį poreikį sprendimams, kurie padeda spręsti praleistų skambučių problemą, ypač smulkaus ir vidutinio verslo (SVV) sektoriuje. Praleisti skambučiai šioms įmonėms reiškia ne tik prarastas pajamas, bet ir sumažėjusį klientų pasitenkinimą bei konkurencinį atsilikimą.</w:t>
      </w:r>
    </w:p>
    <w:p>
      <w:pPr>
        <w:pStyle w:val="MdSpace"/>
        <w:spacing w:before="0" w:after="60"/>
      </w:pPr>
    </w:p>
    <w:p>
      <w:pPr>
        <w:pStyle w:val="Heading3"/>
        <w:pStyle w:val="MdHeading3"/>
      </w:pPr>
      <w:r>
        <w:t xml:space="preserve">Finansinis Praleistų Skambučių Poveikis</w:t>
      </w:r>
    </w:p>
    <w:p>
      <w:pPr>
        <w:pStyle w:val="MdParagraph"/>
      </w:pPr>
      <w:r>
        <w:t xml:space="preserve">Duomenys atskleidžia, kad praleisti skambučiai yra reikšmingas finansinis nuostolis JAV įmonėms. Vidutiniškai smulkus verslas dėl neatsakytų skambučių per metus praranda apie </w:t>
      </w:r>
      <w:r>
        <w:rPr>
          <w:rStyle w:val="MdStrong"/>
          <w:b/>
          <w:bCs/>
        </w:rPr>
        <w:t xml:space="preserve">126 000 JAV dolerių</w:t>
      </w:r>
      <w:r>
        <w:t xml:space="preserve">. Šią problemą pagilina faktas, kad </w:t>
      </w:r>
      <w:r>
        <w:rPr>
          <w:rStyle w:val="MdStrong"/>
          <w:b/>
          <w:bCs/>
        </w:rPr>
        <w:t xml:space="preserve">85% skambinusiųjų, kurių skambutis liko neatsakytas, daugiau nebeskambina</w:t>
      </w:r>
      <w:r>
        <w:t xml:space="preserve"> ir kreipiasi į konkurentus. Be to, 80% žmonių, patekusių į balso paštą, nepalieka žinutės, kas rodo tradicinių atsakiklių neefektyvumą.</w:t>
      </w:r>
    </w:p>
    <w:p>
      <w:pPr>
        <w:pStyle w:val="MdSpace"/>
        <w:spacing w:before="0" w:after="60"/>
      </w:pPr>
    </w:p>
    <w:p>
      <w:pPr>
        <w:pStyle w:val="MdParagraph"/>
      </w:pPr>
      <w:r>
        <w:t xml:space="preserve">Svarbu pažymėti, kad nuostoliai ženkliai skiriasi priklausomai nuo industrijos:</w:t>
      </w:r>
    </w:p>
    <w:p>
      <w:pPr>
        <w:pStyle w:val="MdSpace"/>
        <w:spacing w:before="0" w:after="60"/>
      </w:pPr>
    </w:p>
    <w:p>
      <w:pPr>
        <w:pStyle w:val="MdListItem"/>
        <w:numPr>
          <w:ilvl w:val="0"/>
          <w:numId w:val="2"/>
        </w:numPr>
      </w:pPr>
      <w:r>
        <w:rPr>
          <w:rStyle w:val="MdStrong"/>
          <w:b/>
          <w:bCs/>
        </w:rPr>
        <w:t xml:space="preserve">Paslaugų teikėjai (Santechnikai, elektrikai, ŠVOK specialistai):</w:t>
      </w:r>
      <w:r>
        <w:t xml:space="preserve"> Praranda vidutiniškai </w:t>
      </w:r>
      <w:r>
        <w:rPr>
          <w:rStyle w:val="MdStrong"/>
          <w:b/>
          <w:bCs/>
        </w:rPr>
        <w:t xml:space="preserve">50 000+ JAV dolerių</w:t>
      </w:r>
      <w:r>
        <w:t xml:space="preserve"> per metus.</w:t>
      </w:r>
    </w:p>
    <w:p>
      <w:pPr>
        <w:pStyle w:val="MdListItem"/>
        <w:numPr>
          <w:ilvl w:val="0"/>
          <w:numId w:val="2"/>
        </w:numPr>
      </w:pPr>
      <w:r>
        <w:rPr>
          <w:rStyle w:val="MdStrong"/>
          <w:b/>
          <w:bCs/>
        </w:rPr>
        <w:t xml:space="preserve">Teisinių paslaugų įmonės:</w:t>
      </w:r>
      <w:r>
        <w:t xml:space="preserve"> Dėl vieno praleisto skambučio per dieną gali prarasti virš </w:t>
      </w:r>
      <w:r>
        <w:rPr>
          <w:rStyle w:val="MdStrong"/>
          <w:b/>
          <w:bCs/>
        </w:rPr>
        <w:t xml:space="preserve">250 000 JAV dolerių</w:t>
      </w:r>
      <w:r>
        <w:t xml:space="preserve"> per metus.</w:t>
      </w:r>
    </w:p>
    <w:p>
      <w:pPr>
        <w:pStyle w:val="MdListItem"/>
        <w:numPr>
          <w:ilvl w:val="0"/>
          <w:numId w:val="2"/>
        </w:numPr>
      </w:pPr>
      <w:r>
        <w:rPr>
          <w:rStyle w:val="MdStrong"/>
          <w:b/>
          <w:bCs/>
        </w:rPr>
        <w:t xml:space="preserve">Nekilnojamojo turto agentai:</w:t>
      </w:r>
      <w:r>
        <w:t xml:space="preserve"> Gali prarasti iki </w:t>
      </w:r>
      <w:r>
        <w:rPr>
          <w:rStyle w:val="MdStrong"/>
          <w:b/>
          <w:bCs/>
        </w:rPr>
        <w:t xml:space="preserve">156 000 JAV dolerių</w:t>
      </w:r>
      <w:r>
        <w:t xml:space="preserve"> per metus potencialių komisinių.</w:t>
      </w:r>
    </w:p>
    <w:p>
      <w:pPr>
        <w:pStyle w:val="MdSpace"/>
        <w:spacing w:before="0" w:after="60"/>
      </w:pPr>
    </w:p>
    <w:p>
      <w:pPr>
        <w:pStyle w:val="Heading3"/>
        <w:pStyle w:val="MdHeading3"/>
      </w:pPr>
      <w:r>
        <w:t xml:space="preserve">Rinkos Dydis ir Augimo Prognozės (2024-2026 m.)</w:t>
      </w:r>
    </w:p>
    <w:p>
      <w:pPr>
        <w:pStyle w:val="MdParagraph"/>
      </w:pPr>
      <w:r>
        <w:t xml:space="preserve">Nors tikslios rinkos dalies, skirtos būtent praleistų skambučių AI agentams, duomenų yra nedaug, platesnių susijusių rinkų analizė rodo milžinišką potencialą.</w:t>
      </w:r>
    </w:p>
    <w:p>
      <w:pPr>
        <w:pStyle w:val="MdSpace"/>
        <w:spacing w:before="0" w:after="60"/>
      </w:pPr>
    </w:p>
    <w:p>
      <w:pPr>
        <w:pStyle w:val="MdListItem"/>
        <w:numPr>
          <w:ilvl w:val="0"/>
          <w:numId w:val="2"/>
        </w:numPr>
      </w:pPr>
      <w:r>
        <w:rPr>
          <w:rStyle w:val="MdStrong"/>
          <w:b/>
          <w:bCs/>
        </w:rPr>
        <w:t xml:space="preserve">AI Klientų Aptarnavimo Rinka:</w:t>
      </w:r>
      <w:r>
        <w:t xml:space="preserve"> Prognozuojama, kad augs nuo 12,06 mlrd. JAV dolerių 2024 m. iki </w:t>
      </w:r>
      <w:r>
        <w:rPr>
          <w:rStyle w:val="MdStrong"/>
          <w:b/>
          <w:bCs/>
        </w:rPr>
        <w:t xml:space="preserve">47,82 mlrd. JAV dolerių 2030 m.</w:t>
      </w:r>
      <w:r>
        <w:t xml:space="preserve"> (25.8% metinis augimo tempas, CAGR).</w:t>
      </w:r>
    </w:p>
    <w:p>
      <w:pPr>
        <w:pStyle w:val="MdListItem"/>
        <w:numPr>
          <w:ilvl w:val="0"/>
          <w:numId w:val="2"/>
        </w:numPr>
      </w:pPr>
      <w:r>
        <w:rPr>
          <w:rStyle w:val="MdStrong"/>
          <w:b/>
          <w:bCs/>
        </w:rPr>
        <w:t xml:space="preserve">Virtualių administratorių (angl. </w:t>
      </w:r>
      <w:r>
        <w:rPr>
          <w:rStyle w:val="MdEm"/>
          <w:b/>
          <w:bCs/>
          <w:i/>
          <w:iCs/>
        </w:rPr>
        <w:t xml:space="preserve">Virtual Receptionist</w:t>
      </w:r>
      <w:r>
        <w:rPr>
          <w:rStyle w:val="MdStrong"/>
          <w:b/>
          <w:bCs/>
        </w:rPr>
        <w:t xml:space="preserve">) Rinka:</w:t>
      </w:r>
      <w:r>
        <w:t xml:space="preserve"> Tiesiogiai susijusi niša, kuri, prognozuojama, pasieks </w:t>
      </w:r>
      <w:r>
        <w:rPr>
          <w:rStyle w:val="MdStrong"/>
          <w:b/>
          <w:bCs/>
        </w:rPr>
        <w:t xml:space="preserve">3,85 mlrd. JAV dolerių 2024 m.</w:t>
      </w:r>
      <w:r>
        <w:t xml:space="preserve"> ir augs iki 9 mlrd. JAV dolerių 2033 m.</w:t>
      </w:r>
    </w:p>
    <w:p>
      <w:pPr>
        <w:pStyle w:val="MdListItem"/>
        <w:numPr>
          <w:ilvl w:val="0"/>
          <w:numId w:val="2"/>
        </w:numPr>
      </w:pPr>
      <w:r>
        <w:rPr>
          <w:rStyle w:val="MdStrong"/>
          <w:b/>
          <w:bCs/>
        </w:rPr>
        <w:t xml:space="preserve">AI Susitikimų Planavimo Programinės Įrangos Rinka:</w:t>
      </w:r>
      <w:r>
        <w:t xml:space="preserve"> Tikimasi, kad pasieks </w:t>
      </w:r>
      <w:r>
        <w:rPr>
          <w:rStyle w:val="MdStrong"/>
          <w:b/>
          <w:bCs/>
        </w:rPr>
        <w:t xml:space="preserve">546,1 mln. JAV dolerių 2025 m.</w:t>
      </w:r>
    </w:p>
    <w:p>
      <w:pPr>
        <w:pStyle w:val="MdSpace"/>
        <w:spacing w:before="0" w:after="60"/>
      </w:pPr>
    </w:p>
    <w:p>
      <w:pPr>
        <w:pStyle w:val="MdParagraph"/>
      </w:pPr>
      <w:r>
        <w:t xml:space="preserve">Remiantis šiais duomenimis, galima daryti prielaidą, kad aptariama AI agentų niša artimiausiu metu (2024-2026 m.) gali siekti </w:t>
      </w:r>
      <w:r>
        <w:rPr>
          <w:rStyle w:val="MdStrong"/>
          <w:b/>
          <w:bCs/>
        </w:rPr>
        <w:t xml:space="preserve">kelis milijardus JAV dolerių per metus (SAM - </w:t>
      </w:r>
      <w:r>
        <w:rPr>
          <w:rStyle w:val="MdEm"/>
          <w:b/>
          <w:bCs/>
          <w:i/>
          <w:iCs/>
        </w:rPr>
        <w:t xml:space="preserve">Serviceable Available Market</w:t>
      </w:r>
      <w:r>
        <w:rPr>
          <w:rStyle w:val="MdStrong"/>
          <w:b/>
          <w:bCs/>
        </w:rPr>
        <w:t xml:space="preserve">)</w:t>
      </w:r>
      <w:r>
        <w:t xml:space="preserve">, o bendras adreseuojamas rinkos dydis (TAM - </w:t>
      </w:r>
      <w:r>
        <w:rPr>
          <w:rStyle w:val="MdEm"/>
          <w:i/>
          <w:iCs/>
        </w:rPr>
        <w:t xml:space="preserve">Total Addressable Market</w:t>
      </w:r>
      <w:r>
        <w:t xml:space="preserve">) potencialiai siekia dešimtis milijardų.</w:t>
      </w:r>
    </w:p>
    <w:p>
      <w:pPr>
        <w:pStyle w:val="MdSpace"/>
        <w:spacing w:before="0" w:after="60"/>
      </w:pPr>
    </w:p>
    <w:p>
      <w:pPr>
        <w:pStyle w:val="MdParagraph"/>
      </w:pPr>
      <w:r>
        <w:rPr>
          <w:rStyle w:val="MdStrong"/>
          <w:b/>
          <w:bCs/>
        </w:rPr>
        <w:t xml:space="preserve">Išvada:</w:t>
      </w:r>
      <w:r>
        <w:t xml:space="preserve"> Rinkos paklausa yra didelė ir pagrįsta realiais verslo nuostoliais. Augimo tendencijos rodo, kad investicijos į šią sritį yra perspektyvios, o rinka yra pakankamai didelė, kad joje galėtų sėkmingai veikti nauji žaidėjai.</w:t>
      </w:r>
    </w:p>
    <w:p>
      <w:pPr>
        <w:pStyle w:val="MdSpace"/>
        <w:spacing w:before="0" w:after="60"/>
      </w:pPr>
    </w:p>
    <w:p>
      <w:pPr>
        <w:pStyle w:val="Heading2"/>
        <w:pStyle w:val="MdHeading2"/>
      </w:pPr>
      <w:r>
        <w:t xml:space="preserve">3. Konkurencinė Aplinka ir Esami Sprendimai</w:t>
      </w:r>
    </w:p>
    <w:p>
      <w:pPr>
        <w:pStyle w:val="MdParagraph"/>
      </w:pPr>
      <w:r>
        <w:t xml:space="preserve">JAV rinka, skirta AI agentams, automatizuojantiems atsakymus į praleistus skambučius ir susitikimų planavimą, yra dinamiška ir konkurencinga. Joje veikia įvairūs žaidėjai – nuo visapusiškų marketingo platformų iki specializuotų AI balso agentų tiekėjų. Šiame skyriuje apžvelgiami pagrindiniai konkurentai, jų kainodaros modeliai, funkcijos ir rinkos pozicijos.</w:t>
      </w:r>
    </w:p>
    <w:p>
      <w:pPr>
        <w:pStyle w:val="MdSpace"/>
        <w:spacing w:before="0" w:after="60"/>
      </w:pPr>
    </w:p>
    <w:p>
      <w:pPr>
        <w:pStyle w:val="Heading3"/>
        <w:pStyle w:val="MdHeading3"/>
      </w:pPr>
      <w:r>
        <w:t xml:space="preserve">Pagrindiniai Konkurentai</w:t>
      </w:r>
    </w:p>
    <w:p>
      <w:pPr>
        <w:pStyle w:val="MdParagraph"/>
      </w:pPr>
      <w:r>
        <w:t xml:space="preserve">Konkurentus galima suskirstyti į kelias kategorijas:</w:t>
      </w:r>
    </w:p>
    <w:p>
      <w:pPr>
        <w:pStyle w:val="MdSpace"/>
        <w:spacing w:before="0" w:after="60"/>
      </w:pPr>
    </w:p>
    <w:p>
      <w:pPr>
        <w:pStyle w:val="MdListItem"/>
        <w:numPr>
          <w:ilvl w:val="0"/>
          <w:numId w:val="3"/>
        </w:numPr>
      </w:pPr>
      <w:r>
        <w:rPr>
          <w:rStyle w:val="MdStrong"/>
          <w:b/>
          <w:bCs/>
        </w:rPr>
        <w:t xml:space="preserve">Viskas-viename platformos:</w:t>
      </w:r>
      <w:r>
        <w:t xml:space="preserve"> Šios platformos siūlo platų marketingo ir pardavimų įrankių spektrą, įskaitant AI funkcijas.</w:t>
      </w:r>
    </w:p>
    <w:p>
      <w:pPr>
        <w:pStyle w:val="MdListItem"/>
        <w:numPr>
          <w:ilvl w:val="1"/>
          <w:numId w:val="2"/>
        </w:numPr>
      </w:pPr>
      <w:r>
        <w:rPr>
          <w:rStyle w:val="MdStrong"/>
          <w:b/>
          <w:bCs/>
        </w:rPr>
        <w:t xml:space="preserve">GoHighLevel:</w:t>
      </w:r>
      <w:r>
        <w:t xml:space="preserve"> Populiari platforma tarp marketingo agentūrų, siūlanti CRM, pardavimų piltuvėlių (funnels) kūrimą, el. pašto marketingą ir susitikimų planavimą. Kainodara svyruoja nuo </w:t>
      </w:r>
      <w:r>
        <w:rPr>
          <w:rStyle w:val="MdStrong"/>
          <w:b/>
          <w:bCs/>
        </w:rPr>
        <w:t xml:space="preserve">97 USD/mėn.</w:t>
      </w:r>
      <w:r>
        <w:t xml:space="preserve"> iki </w:t>
      </w:r>
      <w:r>
        <w:rPr>
          <w:rStyle w:val="MdStrong"/>
          <w:b/>
          <w:bCs/>
        </w:rPr>
        <w:t xml:space="preserve">497 USD/mėn.</w:t>
      </w:r>
      <w:r>
        <w:t xml:space="preserve"> Nors platforma yra galinga, papildomi mokesčiai už telekomunikacijų ir AI paslaugas gali greitai kauptis.</w:t>
      </w:r>
    </w:p>
    <w:p>
      <w:pPr>
        <w:pStyle w:val="MdListItem"/>
        <w:numPr>
          <w:ilvl w:val="0"/>
          <w:numId w:val="3"/>
        </w:numPr>
      </w:pPr>
      <w:r>
        <w:rPr>
          <w:rStyle w:val="MdStrong"/>
          <w:b/>
          <w:bCs/>
        </w:rPr>
        <w:t xml:space="preserve">Specializuoti AI Agentų Tiekėjai:</w:t>
      </w:r>
      <w:r>
        <w:t xml:space="preserve"> Šios įmonės koncentruojasi tiesiogiai į AI balso ir SMS agentų kūrimą.</w:t>
      </w:r>
    </w:p>
    <w:p>
      <w:pPr>
        <w:pStyle w:val="MdListItem"/>
        <w:numPr>
          <w:ilvl w:val="1"/>
          <w:numId w:val="2"/>
        </w:numPr>
      </w:pPr>
      <w:r>
        <w:rPr>
          <w:rStyle w:val="MdStrong"/>
          <w:b/>
          <w:bCs/>
        </w:rPr>
        <w:t xml:space="preserve">Goodcall:</w:t>
      </w:r>
      <w:r>
        <w:t xml:space="preserve"> Siūlo prieinamą AI telefono agento paslaugą, orientuotą į paslaugų verslus. Kainodara – nuo </w:t>
      </w:r>
      <w:r>
        <w:rPr>
          <w:rStyle w:val="MdStrong"/>
          <w:b/>
          <w:bCs/>
        </w:rPr>
        <w:t xml:space="preserve">66 USD/mėn.</w:t>
      </w:r>
      <w:r>
        <w:t xml:space="preserve"> iki </w:t>
      </w:r>
      <w:r>
        <w:rPr>
          <w:rStyle w:val="MdStrong"/>
          <w:b/>
          <w:bCs/>
        </w:rPr>
        <w:t xml:space="preserve">208 USD/mėn.</w:t>
      </w:r>
      <w:r>
        <w:t xml:space="preserve"> Privalumai – HIPAA atitiktis (svarbu medicinos sektoriui) ir paprastas diegimas be programavimo žinių.</w:t>
      </w:r>
    </w:p>
    <w:p>
      <w:pPr>
        <w:pStyle w:val="MdListItem"/>
        <w:numPr>
          <w:ilvl w:val="1"/>
          <w:numId w:val="2"/>
        </w:numPr>
      </w:pPr>
      <w:r>
        <w:rPr>
          <w:rStyle w:val="MdStrong"/>
          <w:b/>
          <w:bCs/>
        </w:rPr>
        <w:t xml:space="preserve">Hatch:</w:t>
      </w:r>
      <w:r>
        <w:t xml:space="preserve"> Pozicionuoja save kaip "AI augimo variklį" paslaugų verslams. Siūlo daugiakanalius (omnikanalius) AI agentus (balsas, SMS, el. paštas). Kainodara nėra vieša, veikia pagal modelį "platformos mokestis + naudojimo mokesčiai".</w:t>
      </w:r>
    </w:p>
    <w:p>
      <w:pPr>
        <w:pStyle w:val="MdListItem"/>
        <w:numPr>
          <w:ilvl w:val="1"/>
          <w:numId w:val="2"/>
        </w:numPr>
      </w:pPr>
      <w:r>
        <w:rPr>
          <w:rStyle w:val="MdStrong"/>
          <w:b/>
          <w:bCs/>
        </w:rPr>
        <w:t xml:space="preserve">Air.ai:</w:t>
      </w:r>
      <w:r>
        <w:t xml:space="preserve"> Siūlo pažangius AI balso agentus, tačiau jų kainodara orientuota į dideles įmones. Būdingas didelis pradinis licencijos mokestis (</w:t>
      </w:r>
      <w:r>
        <w:rPr>
          <w:rStyle w:val="MdStrong"/>
          <w:b/>
          <w:bCs/>
        </w:rPr>
        <w:t xml:space="preserve">25 000 - 100 000 USD</w:t>
      </w:r>
      <w:r>
        <w:t xml:space="preserve">) ir papildomi mokesčiai už naudojimą minutėmis (</w:t>
      </w:r>
      <w:r>
        <w:rPr>
          <w:rStyle w:val="MdStrong"/>
          <w:b/>
          <w:bCs/>
        </w:rPr>
        <w:t xml:space="preserve">0,11 - 0,32 USD/min</w:t>
      </w:r>
      <w:r>
        <w:t xml:space="preserve">).</w:t>
      </w:r>
    </w:p>
    <w:p>
      <w:pPr>
        <w:pStyle w:val="MdListItem"/>
        <w:numPr>
          <w:ilvl w:val="1"/>
          <w:numId w:val="2"/>
        </w:numPr>
      </w:pPr>
      <w:r>
        <w:rPr>
          <w:rStyle w:val="MdStrong"/>
          <w:b/>
          <w:bCs/>
        </w:rPr>
        <w:t xml:space="preserve">Synthflow ir Bland.ai:</w:t>
      </w:r>
      <w:r>
        <w:t xml:space="preserve"> Siūlo lankstesnius, daugiausia naudojimu pagrįstus kainodaros modelius (pvz., </w:t>
      </w:r>
      <w:r>
        <w:rPr>
          <w:rStyle w:val="MdStrong"/>
          <w:b/>
          <w:bCs/>
        </w:rPr>
        <w:t xml:space="preserve">~0,08 - 0,09 USD/min</w:t>
      </w:r>
      <w:r>
        <w:t xml:space="preserve">), kas daro juos prieinamesnius platesniam verslų ratui. Jie taip pat siūlo įvairius mėnesinius planus.</w:t>
      </w:r>
    </w:p>
    <w:p>
      <w:pPr>
        <w:pStyle w:val="MdListItem"/>
        <w:numPr>
          <w:ilvl w:val="0"/>
          <w:numId w:val="3"/>
        </w:numPr>
      </w:pPr>
      <w:r>
        <w:rPr>
          <w:rStyle w:val="MdStrong"/>
          <w:b/>
          <w:bCs/>
        </w:rPr>
        <w:t xml:space="preserve">Nišiniai Sprendimai:</w:t>
      </w:r>
    </w:p>
    <w:p>
      <w:pPr>
        <w:pStyle w:val="MdListItem"/>
        <w:numPr>
          <w:ilvl w:val="1"/>
          <w:numId w:val="2"/>
        </w:numPr>
      </w:pPr>
      <w:r>
        <w:rPr>
          <w:rStyle w:val="MdStrong"/>
          <w:b/>
          <w:bCs/>
        </w:rPr>
        <w:t xml:space="preserve">Numa:</w:t>
      </w:r>
      <w:r>
        <w:t xml:space="preserve"> Stipriai orientuota į automobilių remonto ir pardavimo sektorių. Kainodara nėra vieša, bet spėjama, kad siekia </w:t>
      </w:r>
      <w:r>
        <w:rPr>
          <w:rStyle w:val="MdStrong"/>
          <w:b/>
          <w:bCs/>
        </w:rPr>
        <w:t xml:space="preserve">200-400 USD/mėn.</w:t>
      </w:r>
    </w:p>
    <w:p>
      <w:pPr>
        <w:pStyle w:val="MdSpace"/>
        <w:spacing w:before="0" w:after="60"/>
      </w:pPr>
    </w:p>
    <w:p>
      <w:pPr>
        <w:pStyle w:val="Heading3"/>
        <w:pStyle w:val="MdHeading3"/>
      </w:pPr>
      <w:r>
        <w:t xml:space="preserve">Kainodaros Modeliai</w:t>
      </w:r>
    </w:p>
    <w:p>
      <w:pPr>
        <w:pStyle w:val="MdParagraph"/>
      </w:pPr>
      <w:r>
        <w:t xml:space="preserve">Vyrauja keli pagrindiniai kainodaros modeliai:</w:t>
      </w:r>
    </w:p>
    <w:p>
      <w:pPr>
        <w:pStyle w:val="MdSpace"/>
        <w:spacing w:before="0" w:after="60"/>
      </w:pPr>
    </w:p>
    <w:p>
      <w:pPr>
        <w:pStyle w:val="MdListItem"/>
        <w:numPr>
          <w:ilvl w:val="0"/>
          <w:numId w:val="2"/>
        </w:numPr>
      </w:pPr>
      <w:r>
        <w:rPr>
          <w:rStyle w:val="MdStrong"/>
          <w:b/>
          <w:bCs/>
        </w:rPr>
        <w:t xml:space="preserve">Prenumerata (Subscription):</w:t>
      </w:r>
      <w:r>
        <w:t xml:space="preserve"> Fiksuotas mėnesinis mokestis už tam tikrą minučių ar funkcijų paketą. (Pvz., GoHighLevel, Goodcall).</w:t>
      </w:r>
    </w:p>
    <w:p>
      <w:pPr>
        <w:pStyle w:val="MdListItem"/>
        <w:numPr>
          <w:ilvl w:val="0"/>
          <w:numId w:val="2"/>
        </w:numPr>
      </w:pPr>
      <w:r>
        <w:rPr>
          <w:rStyle w:val="MdStrong"/>
          <w:b/>
          <w:bCs/>
        </w:rPr>
        <w:t xml:space="preserve">Naudojimu pagrįstas (Usage-Based):</w:t>
      </w:r>
      <w:r>
        <w:t xml:space="preserve"> Mokama už faktiškai sunaudotas minutes ar žinutes. (Pvz., Synthflow, Bland.ai, Air.ai).</w:t>
      </w:r>
    </w:p>
    <w:p>
      <w:pPr>
        <w:pStyle w:val="MdListItem"/>
        <w:numPr>
          <w:ilvl w:val="0"/>
          <w:numId w:val="2"/>
        </w:numPr>
      </w:pPr>
      <w:r>
        <w:rPr>
          <w:rStyle w:val="MdStrong"/>
          <w:b/>
          <w:bCs/>
        </w:rPr>
        <w:t xml:space="preserve">Hibridinis:</w:t>
      </w:r>
      <w:r>
        <w:t xml:space="preserve"> Platformos mokestis plius mokesčiai už naudojimą. (Pvz., Hatch).</w:t>
      </w:r>
    </w:p>
    <w:p>
      <w:pPr>
        <w:pStyle w:val="MdListItem"/>
        <w:numPr>
          <w:ilvl w:val="0"/>
          <w:numId w:val="2"/>
        </w:numPr>
      </w:pPr>
      <w:r>
        <w:rPr>
          <w:rStyle w:val="MdStrong"/>
          <w:b/>
          <w:bCs/>
        </w:rPr>
        <w:t xml:space="preserve">Aukštas pradinis mokestis:</w:t>
      </w:r>
      <w:r>
        <w:t xml:space="preserve"> Būdingas didelėms įmonėms skirtiems sprendimams. (Pvz., Air.ai).</w:t>
      </w:r>
    </w:p>
    <w:p>
      <w:pPr>
        <w:pStyle w:val="MdSpace"/>
        <w:spacing w:before="0" w:after="60"/>
      </w:pPr>
    </w:p>
    <w:p>
      <w:pPr>
        <w:pStyle w:val="Heading3"/>
        <w:pStyle w:val="MdHeading3"/>
      </w:pPr>
      <w:r>
        <w:t xml:space="preserve">Konkurencinės Aplinkos Apžvalga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Konkurentas</w:t>
            </w:r>
          </w:p>
        </w:tc>
        <w:tc>
          <w:tcPr>
            <w:tcMar>
              <w:top w:type="dxa" w:w="100"/>
              <w:left w:type="dxa" w:w="120"/>
              <w:bottom w:type="dxa" w:w="100"/>
              <w:right w:type="dxa" w:w="120"/>
            </w:tcMar>
            <w:vAlign w:val="center"/>
          </w:tcPr>
          <w:p>
            <w:pPr>
              <w:pStyle w:val="MdTableHeader"/>
              <w:jc w:val="left"/>
            </w:pPr>
            <w:r>
              <w:t xml:space="preserve">Tikslinė Rinka</w:t>
            </w:r>
          </w:p>
        </w:tc>
        <w:tc>
          <w:tcPr>
            <w:tcMar>
              <w:top w:type="dxa" w:w="100"/>
              <w:left w:type="dxa" w:w="120"/>
              <w:bottom w:type="dxa" w:w="100"/>
              <w:right w:type="dxa" w:w="120"/>
            </w:tcMar>
            <w:vAlign w:val="center"/>
          </w:tcPr>
          <w:p>
            <w:pPr>
              <w:pStyle w:val="MdTableHeader"/>
              <w:jc w:val="left"/>
            </w:pPr>
            <w:r>
              <w:t xml:space="preserve">Kainodaros Modelis</w:t>
            </w:r>
          </w:p>
        </w:tc>
        <w:tc>
          <w:tcPr>
            <w:tcMar>
              <w:top w:type="dxa" w:w="100"/>
              <w:left w:type="dxa" w:w="120"/>
              <w:bottom w:type="dxa" w:w="100"/>
              <w:right w:type="dxa" w:w="120"/>
            </w:tcMar>
            <w:vAlign w:val="center"/>
          </w:tcPr>
          <w:p>
            <w:pPr>
              <w:pStyle w:val="MdTableHeader"/>
              <w:jc w:val="left"/>
            </w:pPr>
            <w:r>
              <w:t xml:space="preserve">Stiprybės</w:t>
            </w:r>
          </w:p>
        </w:tc>
        <w:tc>
          <w:tcPr>
            <w:tcBorders>
              <w:right w:val="none"/>
            </w:tcBorders>
            <w:tcMar>
              <w:top w:type="dxa" w:w="100"/>
              <w:left w:type="dxa" w:w="120"/>
              <w:bottom w:type="dxa" w:w="100"/>
              <w:right w:type="dxa" w:w="120"/>
            </w:tcMar>
            <w:vAlign w:val="center"/>
          </w:tcPr>
          <w:p>
            <w:pPr>
              <w:pStyle w:val="MdTableHeader"/>
              <w:jc w:val="left"/>
            </w:pPr>
            <w:r>
              <w:t xml:space="preserve">Silpnybės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GoHighLevel</w:t>
            </w:r>
          </w:p>
        </w:tc>
        <w:tc>
          <w:tcPr>
            <w:tcMar>
              <w:top w:type="dxa" w:w="80"/>
              <w:left w:type="dxa" w:w="120"/>
              <w:bottom w:type="dxa" w:w="80"/>
              <w:right w:type="dxa" w:w="120"/>
            </w:tcMar>
            <w:vAlign w:val="center"/>
          </w:tcPr>
          <w:p>
            <w:pPr>
              <w:pStyle w:val="MdTableCell"/>
              <w:jc w:val="left"/>
            </w:pPr>
            <w:r>
              <w:t xml:space="preserve">Marketingo agentūros, SVV</w:t>
            </w:r>
          </w:p>
        </w:tc>
        <w:tc>
          <w:tcPr>
            <w:tcMar>
              <w:top w:type="dxa" w:w="80"/>
              <w:left w:type="dxa" w:w="120"/>
              <w:bottom w:type="dxa" w:w="80"/>
              <w:right w:type="dxa" w:w="120"/>
            </w:tcMar>
            <w:vAlign w:val="center"/>
          </w:tcPr>
          <w:p>
            <w:pPr>
              <w:pStyle w:val="MdTableCell"/>
              <w:jc w:val="left"/>
            </w:pPr>
            <w:r>
              <w:t xml:space="preserve">Prenumerata</w:t>
            </w:r>
          </w:p>
        </w:tc>
        <w:tc>
          <w:tcPr>
            <w:tcMar>
              <w:top w:type="dxa" w:w="80"/>
              <w:left w:type="dxa" w:w="120"/>
              <w:bottom w:type="dxa" w:w="80"/>
              <w:right w:type="dxa" w:w="120"/>
            </w:tcMar>
            <w:vAlign w:val="center"/>
          </w:tcPr>
          <w:p>
            <w:pPr>
              <w:pStyle w:val="MdTableCell"/>
              <w:jc w:val="left"/>
            </w:pPr>
            <w:r>
              <w:t xml:space="preserve">Platus funkcijų spektras, "white-label" galimybė</w:t>
            </w:r>
          </w:p>
        </w:tc>
        <w:tc>
          <w:tcPr>
            <w:tcBorders>
              <w:right w:val="none"/>
            </w:tcBorders>
            <w:tcMar>
              <w:top w:type="dxa" w:w="80"/>
              <w:left w:type="dxa" w:w="120"/>
              <w:bottom w:type="dxa" w:w="80"/>
              <w:right w:type="dxa" w:w="120"/>
            </w:tcMar>
            <w:vAlign w:val="center"/>
          </w:tcPr>
          <w:p>
            <w:pPr>
              <w:pStyle w:val="MdTableCell"/>
              <w:jc w:val="left"/>
            </w:pPr>
            <w:r>
              <w:t xml:space="preserve">Gali būti brangu dėl papildomų mokesčių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Goodcall</w:t>
            </w:r>
          </w:p>
        </w:tc>
        <w:tc>
          <w:tcPr>
            <w:tcMar>
              <w:top w:type="dxa" w:w="80"/>
              <w:left w:type="dxa" w:w="120"/>
              <w:bottom w:type="dxa" w:w="80"/>
              <w:right w:type="dxa" w:w="120"/>
            </w:tcMar>
            <w:vAlign w:val="center"/>
          </w:tcPr>
          <w:p>
            <w:pPr>
              <w:pStyle w:val="MdTableCell"/>
              <w:jc w:val="left"/>
            </w:pPr>
            <w:r>
              <w:t xml:space="preserve">Paslaugų verslai, medicina</w:t>
            </w:r>
          </w:p>
        </w:tc>
        <w:tc>
          <w:tcPr>
            <w:tcMar>
              <w:top w:type="dxa" w:w="80"/>
              <w:left w:type="dxa" w:w="120"/>
              <w:bottom w:type="dxa" w:w="80"/>
              <w:right w:type="dxa" w:w="120"/>
            </w:tcMar>
            <w:vAlign w:val="center"/>
          </w:tcPr>
          <w:p>
            <w:pPr>
              <w:pStyle w:val="MdTableCell"/>
              <w:jc w:val="left"/>
            </w:pPr>
            <w:r>
              <w:t xml:space="preserve">Prenumerata</w:t>
            </w:r>
          </w:p>
        </w:tc>
        <w:tc>
          <w:tcPr>
            <w:tcMar>
              <w:top w:type="dxa" w:w="80"/>
              <w:left w:type="dxa" w:w="120"/>
              <w:bottom w:type="dxa" w:w="80"/>
              <w:right w:type="dxa" w:w="120"/>
            </w:tcMar>
            <w:vAlign w:val="center"/>
          </w:tcPr>
          <w:p>
            <w:pPr>
              <w:pStyle w:val="MdTableCell"/>
              <w:jc w:val="left"/>
            </w:pPr>
            <w:r>
              <w:t xml:space="preserve">Prieinama kaina, HIPAA atitiktis, paprastumas</w:t>
            </w:r>
          </w:p>
        </w:tc>
        <w:tc>
          <w:tcPr>
            <w:tcBorders>
              <w:right w:val="none"/>
            </w:tcBorders>
            <w:tcMar>
              <w:top w:type="dxa" w:w="80"/>
              <w:left w:type="dxa" w:w="120"/>
              <w:bottom w:type="dxa" w:w="80"/>
              <w:right w:type="dxa" w:w="120"/>
            </w:tcMar>
            <w:vAlign w:val="center"/>
          </w:tcPr>
          <w:p>
            <w:pPr>
              <w:pStyle w:val="MdTableCell"/>
              <w:jc w:val="left"/>
            </w:pPr>
            <w:r>
              <w:t xml:space="preserve">Mažiau funkcijų nei "viskas-viename" platformose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Hatch</w:t>
            </w:r>
          </w:p>
        </w:tc>
        <w:tc>
          <w:tcPr>
            <w:tcMar>
              <w:top w:type="dxa" w:w="80"/>
              <w:left w:type="dxa" w:w="120"/>
              <w:bottom w:type="dxa" w:w="80"/>
              <w:right w:type="dxa" w:w="120"/>
            </w:tcMar>
            <w:vAlign w:val="center"/>
          </w:tcPr>
          <w:p>
            <w:pPr>
              <w:pStyle w:val="MdTableCell"/>
              <w:jc w:val="left"/>
            </w:pPr>
            <w:r>
              <w:t xml:space="preserve">Paslaugų verslai</w:t>
            </w:r>
          </w:p>
        </w:tc>
        <w:tc>
          <w:tcPr>
            <w:tcMar>
              <w:top w:type="dxa" w:w="80"/>
              <w:left w:type="dxa" w:w="120"/>
              <w:bottom w:type="dxa" w:w="80"/>
              <w:right w:type="dxa" w:w="120"/>
            </w:tcMar>
            <w:vAlign w:val="center"/>
          </w:tcPr>
          <w:p>
            <w:pPr>
              <w:pStyle w:val="MdTableCell"/>
              <w:jc w:val="left"/>
            </w:pPr>
            <w:r>
              <w:t xml:space="preserve">Hibridinis</w:t>
            </w:r>
          </w:p>
        </w:tc>
        <w:tc>
          <w:tcPr>
            <w:tcMar>
              <w:top w:type="dxa" w:w="80"/>
              <w:left w:type="dxa" w:w="120"/>
              <w:bottom w:type="dxa" w:w="80"/>
              <w:right w:type="dxa" w:w="120"/>
            </w:tcMar>
            <w:vAlign w:val="center"/>
          </w:tcPr>
          <w:p>
            <w:pPr>
              <w:pStyle w:val="MdTableCell"/>
              <w:jc w:val="left"/>
            </w:pPr>
            <w:r>
              <w:t xml:space="preserve">Daugiakanaliai agentai, gilūs integravimai</w:t>
            </w:r>
          </w:p>
        </w:tc>
        <w:tc>
          <w:tcPr>
            <w:tcBorders>
              <w:right w:val="none"/>
            </w:tcBorders>
            <w:tcMar>
              <w:top w:type="dxa" w:w="80"/>
              <w:left w:type="dxa" w:w="120"/>
              <w:bottom w:type="dxa" w:w="80"/>
              <w:right w:type="dxa" w:w="120"/>
            </w:tcMar>
            <w:vAlign w:val="center"/>
          </w:tcPr>
          <w:p>
            <w:pPr>
              <w:pStyle w:val="MdTableCell"/>
              <w:jc w:val="left"/>
            </w:pPr>
            <w:r>
              <w:t xml:space="preserve">Nepermatoma kainodara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Air.ai</w:t>
            </w:r>
          </w:p>
        </w:tc>
        <w:tc>
          <w:tcPr>
            <w:tcMar>
              <w:top w:type="dxa" w:w="80"/>
              <w:left w:type="dxa" w:w="120"/>
              <w:bottom w:type="dxa" w:w="80"/>
              <w:right w:type="dxa" w:w="120"/>
            </w:tcMar>
            <w:vAlign w:val="center"/>
          </w:tcPr>
          <w:p>
            <w:pPr>
              <w:pStyle w:val="MdTableCell"/>
              <w:jc w:val="left"/>
            </w:pPr>
            <w:r>
              <w:t xml:space="preserve">Didelės įmonės</w:t>
            </w:r>
          </w:p>
        </w:tc>
        <w:tc>
          <w:tcPr>
            <w:tcMar>
              <w:top w:type="dxa" w:w="80"/>
              <w:left w:type="dxa" w:w="120"/>
              <w:bottom w:type="dxa" w:w="80"/>
              <w:right w:type="dxa" w:w="120"/>
            </w:tcMar>
            <w:vAlign w:val="center"/>
          </w:tcPr>
          <w:p>
            <w:pPr>
              <w:pStyle w:val="MdTableCell"/>
              <w:jc w:val="left"/>
            </w:pPr>
            <w:r>
              <w:t xml:space="preserve">Aukštas pradinis mokestis + naudojimas</w:t>
            </w:r>
          </w:p>
        </w:tc>
        <w:tc>
          <w:tcPr>
            <w:tcMar>
              <w:top w:type="dxa" w:w="80"/>
              <w:left w:type="dxa" w:w="120"/>
              <w:bottom w:type="dxa" w:w="80"/>
              <w:right w:type="dxa" w:w="120"/>
            </w:tcMar>
            <w:vAlign w:val="center"/>
          </w:tcPr>
          <w:p>
            <w:pPr>
              <w:pStyle w:val="MdTableCell"/>
              <w:jc w:val="left"/>
            </w:pPr>
            <w:r>
              <w:t xml:space="preserve">Labai pažangūs agentai, didelis našumas</w:t>
            </w:r>
          </w:p>
        </w:tc>
        <w:tc>
          <w:tcPr>
            <w:tcBorders>
              <w:right w:val="none"/>
            </w:tcBorders>
            <w:tcMar>
              <w:top w:type="dxa" w:w="80"/>
              <w:left w:type="dxa" w:w="120"/>
              <w:bottom w:type="dxa" w:w="80"/>
              <w:right w:type="dxa" w:w="120"/>
            </w:tcMar>
            <w:vAlign w:val="center"/>
          </w:tcPr>
          <w:p>
            <w:pPr>
              <w:pStyle w:val="MdTableCell"/>
              <w:jc w:val="left"/>
            </w:pPr>
            <w:r>
              <w:t xml:space="preserve">Labai brangu, neprieinama SVV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Synthflow/Bland.ai</w:t>
            </w:r>
          </w:p>
        </w:tc>
        <w:tc>
          <w:tcPr>
            <w:tcMar>
              <w:top w:type="dxa" w:w="80"/>
              <w:left w:type="dxa" w:w="120"/>
              <w:bottom w:type="dxa" w:w="80"/>
              <w:right w:type="dxa" w:w="120"/>
            </w:tcMar>
            <w:vAlign w:val="center"/>
          </w:tcPr>
          <w:p>
            <w:pPr>
              <w:pStyle w:val="MdTableCell"/>
              <w:jc w:val="left"/>
            </w:pPr>
            <w:r>
              <w:t xml:space="preserve">Įvairūs (nuo SVV iki įmonių)</w:t>
            </w:r>
          </w:p>
        </w:tc>
        <w:tc>
          <w:tcPr>
            <w:tcMar>
              <w:top w:type="dxa" w:w="80"/>
              <w:left w:type="dxa" w:w="120"/>
              <w:bottom w:type="dxa" w:w="80"/>
              <w:right w:type="dxa" w:w="120"/>
            </w:tcMar>
            <w:vAlign w:val="center"/>
          </w:tcPr>
          <w:p>
            <w:pPr>
              <w:pStyle w:val="MdTableCell"/>
              <w:jc w:val="left"/>
            </w:pPr>
            <w:r>
              <w:t xml:space="preserve">Naudojimu pagrįstas</w:t>
            </w:r>
          </w:p>
        </w:tc>
        <w:tc>
          <w:tcPr>
            <w:tcMar>
              <w:top w:type="dxa" w:w="80"/>
              <w:left w:type="dxa" w:w="120"/>
              <w:bottom w:type="dxa" w:w="80"/>
              <w:right w:type="dxa" w:w="120"/>
            </w:tcMar>
            <w:vAlign w:val="center"/>
          </w:tcPr>
          <w:p>
            <w:pPr>
              <w:pStyle w:val="MdTableCell"/>
              <w:jc w:val="left"/>
            </w:pPr>
            <w:r>
              <w:t xml:space="preserve">Lankstumas, prieinamumas, greitas diegimas</w:t>
            </w:r>
          </w:p>
        </w:tc>
        <w:tc>
          <w:tcPr>
            <w:tcBorders>
              <w:right w:val="none"/>
            </w:tcBorders>
            <w:tcMar>
              <w:top w:type="dxa" w:w="80"/>
              <w:left w:type="dxa" w:w="120"/>
              <w:bottom w:type="dxa" w:w="80"/>
              <w:right w:type="dxa" w:w="120"/>
            </w:tcMar>
            <w:vAlign w:val="center"/>
          </w:tcPr>
          <w:p>
            <w:pPr>
              <w:pStyle w:val="MdTableCell"/>
              <w:jc w:val="left"/>
            </w:pPr>
            <w:r>
              <w:t xml:space="preserve">Gali būti sudėtinga prognozuoti išlaidas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Numa</w:t>
            </w:r>
          </w:p>
        </w:tc>
        <w:tc>
          <w:tcPr>
            <w:tcBorders>
              <w:bottom w:val="single" w:color="E1E4E8" w:sz="4"/>
            </w:tcBorders>
            <w:tcMar>
              <w:top w:type="dxa" w:w="80"/>
              <w:left w:type="dxa" w:w="120"/>
              <w:bottom w:type="dxa" w:w="80"/>
              <w:right w:type="dxa" w:w="120"/>
            </w:tcMar>
            <w:vAlign w:val="center"/>
          </w:tcPr>
          <w:p>
            <w:pPr>
              <w:pStyle w:val="MdTableCell"/>
              <w:jc w:val="left"/>
            </w:pPr>
            <w:r>
              <w:t xml:space="preserve">Automobilių industrija</w:t>
            </w:r>
          </w:p>
        </w:tc>
        <w:tc>
          <w:tcPr>
            <w:tcBorders>
              <w:bottom w:val="single" w:color="E1E4E8" w:sz="4"/>
            </w:tcBorders>
            <w:tcMar>
              <w:top w:type="dxa" w:w="80"/>
              <w:left w:type="dxa" w:w="120"/>
              <w:bottom w:type="dxa" w:w="80"/>
              <w:right w:type="dxa" w:w="120"/>
            </w:tcMar>
            <w:vAlign w:val="center"/>
          </w:tcPr>
          <w:p>
            <w:pPr>
              <w:pStyle w:val="MdTableCell"/>
              <w:jc w:val="left"/>
            </w:pPr>
            <w:r>
              <w:t xml:space="preserve">Prenumerata (spėjama)</w:t>
            </w:r>
          </w:p>
        </w:tc>
        <w:tc>
          <w:tcPr>
            <w:tcBorders>
              <w:bottom w:val="single" w:color="E1E4E8" w:sz="4"/>
            </w:tcBorders>
            <w:tcMar>
              <w:top w:type="dxa" w:w="80"/>
              <w:left w:type="dxa" w:w="120"/>
              <w:bottom w:type="dxa" w:w="80"/>
              <w:right w:type="dxa" w:w="120"/>
            </w:tcMar>
            <w:vAlign w:val="center"/>
          </w:tcPr>
          <w:p>
            <w:pPr>
              <w:pStyle w:val="MdTableCell"/>
              <w:jc w:val="left"/>
            </w:pPr>
            <w:r>
              <w:t xml:space="preserve">Gilus nišos išmanymas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Labai siaura specializacija</w:t>
            </w:r>
          </w:p>
        </w:tc>
      </w:tr>
    </w:tbl>
    <w:p>
      <w:pPr>
        <w:pStyle w:val="MdParagraph"/>
      </w:pPr>
      <w:r>
        <w:rPr>
          <w:rStyle w:val="MdStrong"/>
          <w:b/>
          <w:bCs/>
        </w:rPr>
        <w:t xml:space="preserve">Išvada:</w:t>
      </w:r>
      <w:r>
        <w:t xml:space="preserve"> Konkurencija yra didelė, tačiau rinka nėra monopolizuota. Yra erdvės naujiems žaidėjams, ypač tiems, kurie gali pasiūlyti </w:t>
      </w:r>
      <w:r>
        <w:rPr>
          <w:rStyle w:val="MdStrong"/>
          <w:b/>
          <w:bCs/>
        </w:rPr>
        <w:t xml:space="preserve">skaidrią ir vertę atitinkančią kainodarą</w:t>
      </w:r>
      <w:r>
        <w:t xml:space="preserve">, </w:t>
      </w:r>
      <w:r>
        <w:rPr>
          <w:rStyle w:val="MdStrong"/>
          <w:b/>
          <w:bCs/>
        </w:rPr>
        <w:t xml:space="preserve">specializuotus sprendimus konkrečioms nišoms</w:t>
      </w:r>
      <w:r>
        <w:t xml:space="preserve"> ir </w:t>
      </w:r>
      <w:r>
        <w:rPr>
          <w:rStyle w:val="MdStrong"/>
          <w:b/>
          <w:bCs/>
        </w:rPr>
        <w:t xml:space="preserve">lengvą integravimą</w:t>
      </w:r>
      <w:r>
        <w:t xml:space="preserve"> su kitomis verslo sistemomis. Sėkmės faktorius – aiškiai komunikuojama investicijų grąža (ROI).</w:t>
      </w:r>
    </w:p>
    <w:p>
      <w:pPr>
        <w:pStyle w:val="MdSpace"/>
        <w:spacing w:before="0" w:after="60"/>
      </w:pPr>
    </w:p>
    <w:p>
      <w:pPr>
        <w:pStyle w:val="Heading2"/>
        <w:pStyle w:val="MdHeading2"/>
      </w:pPr>
      <w:r>
        <w:t xml:space="preserve">4. Geriausios Valstijos ir Vietinės Rinkos</w:t>
      </w:r>
    </w:p>
    <w:p>
      <w:pPr>
        <w:pStyle w:val="MdParagraph"/>
      </w:pPr>
      <w:r>
        <w:t xml:space="preserve">Nors AI agentų poreikis egzistuoja visose JAV, tam tikros valstijos ir metropolinės zonos išsiskiria kaip ypač perspektyvios rinkos dėl didelio smulkaus ir vidutinio verslo (SVV) tankio, aukšto skambučių srauto ir dominuojančio paslaugų sektoriaus. Šiame skyriuje identifikuojamos ir pagrindžiamos patraukliausios valstijos.</w:t>
      </w:r>
    </w:p>
    <w:p>
      <w:pPr>
        <w:pStyle w:val="MdSpace"/>
        <w:spacing w:before="0" w:after="60"/>
      </w:pPr>
    </w:p>
    <w:p>
      <w:pPr>
        <w:pStyle w:val="Heading3"/>
        <w:pStyle w:val="MdHeading3"/>
      </w:pPr>
      <w:r>
        <w:t xml:space="preserve">Identifikavimo Kriterijai</w:t>
      </w:r>
    </w:p>
    <w:p>
      <w:pPr>
        <w:pStyle w:val="MdListItem"/>
        <w:numPr>
          <w:ilvl w:val="0"/>
          <w:numId w:val="2"/>
        </w:numPr>
      </w:pPr>
      <w:r>
        <w:rPr>
          <w:rStyle w:val="MdStrong"/>
          <w:b/>
          <w:bCs/>
        </w:rPr>
        <w:t xml:space="preserve">SVV Tankis:</w:t>
      </w:r>
      <w:r>
        <w:t xml:space="preserve"> Didesnis SVV skaičius reiškia didesnę potencialių klientų bazę.</w:t>
      </w:r>
    </w:p>
    <w:p>
      <w:pPr>
        <w:pStyle w:val="MdListItem"/>
        <w:numPr>
          <w:ilvl w:val="0"/>
          <w:numId w:val="2"/>
        </w:numPr>
      </w:pPr>
      <w:r>
        <w:rPr>
          <w:rStyle w:val="MdStrong"/>
          <w:b/>
          <w:bCs/>
        </w:rPr>
        <w:t xml:space="preserve">Skambučių Srautas:</w:t>
      </w:r>
      <w:r>
        <w:t xml:space="preserve"> Vertinamas pagal klientų aptarnavimo specialistų (CSR) darbo vietų skaičių, kas yra geras indikatorius bendram verslo skambučių aktyvumui.</w:t>
      </w:r>
    </w:p>
    <w:p>
      <w:pPr>
        <w:pStyle w:val="MdListItem"/>
        <w:numPr>
          <w:ilvl w:val="0"/>
          <w:numId w:val="2"/>
        </w:numPr>
      </w:pPr>
      <w:r>
        <w:rPr>
          <w:rStyle w:val="MdStrong"/>
          <w:b/>
          <w:bCs/>
        </w:rPr>
        <w:t xml:space="preserve">Paslaugų Sektoriaus Dydis:</w:t>
      </w:r>
      <w:r>
        <w:t xml:space="preserve"> Valstijos, kurių ekonomikoje dominuoja paslaugų sektorius, yra natūraliai geresnė rinka paslaugas teikiančioms įmonėms skirtiems sprendimams.</w:t>
      </w:r>
    </w:p>
    <w:p>
      <w:pPr>
        <w:pStyle w:val="MdListItem"/>
        <w:numPr>
          <w:ilvl w:val="0"/>
          <w:numId w:val="2"/>
        </w:numPr>
      </w:pPr>
      <w:r>
        <w:rPr>
          <w:rStyle w:val="MdStrong"/>
          <w:b/>
          <w:bCs/>
        </w:rPr>
        <w:t xml:space="preserve">Technologijų Adaptacija:</w:t>
      </w:r>
      <w:r>
        <w:t xml:space="preserve"> Paradoksalu, tačiau rinkos su šiek tiek mažesniu technologijų įsisavinimo lygiu gali būti patrauklesnės, nes čia AI sprendimai gali suteikti didesnį konkurencinį pranašumą ir išspręsti aštresnes problemas.</w:t>
      </w:r>
    </w:p>
    <w:p>
      <w:pPr>
        <w:pStyle w:val="MdSpace"/>
        <w:spacing w:before="0" w:after="60"/>
      </w:pPr>
    </w:p>
    <w:p>
      <w:pPr>
        <w:pStyle w:val="Heading3"/>
        <w:pStyle w:val="MdHeading3"/>
      </w:pPr>
      <w:r>
        <w:t xml:space="preserve">Top 5 Perspektyviausios Valstijos</w:t>
      </w:r>
    </w:p>
    <w:p>
      <w:pPr>
        <w:pStyle w:val="MdParagraph"/>
      </w:pPr>
      <w:r>
        <w:t xml:space="preserve">Remiantis atlikta analize, šios penkios valstijos išsiskiria kaip pagrindiniai taikiniai: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Valstija</w:t>
            </w:r>
          </w:p>
        </w:tc>
        <w:tc>
          <w:tcPr>
            <w:tcMar>
              <w:top w:type="dxa" w:w="100"/>
              <w:left w:type="dxa" w:w="120"/>
              <w:bottom w:type="dxa" w:w="100"/>
              <w:right w:type="dxa" w:w="120"/>
            </w:tcMar>
            <w:vAlign w:val="center"/>
          </w:tcPr>
          <w:p>
            <w:pPr>
              <w:pStyle w:val="MdTableHeader"/>
              <w:jc w:val="left"/>
            </w:pPr>
            <w:r>
              <w:t xml:space="preserve">SVV Skaičius (apytikslis)</w:t>
            </w:r>
          </w:p>
        </w:tc>
        <w:tc>
          <w:tcPr>
            <w:tcMar>
              <w:top w:type="dxa" w:w="100"/>
              <w:left w:type="dxa" w:w="120"/>
              <w:bottom w:type="dxa" w:w="100"/>
              <w:right w:type="dxa" w:w="120"/>
            </w:tcMar>
            <w:vAlign w:val="center"/>
          </w:tcPr>
          <w:p>
            <w:pPr>
              <w:pStyle w:val="MdTableHeader"/>
              <w:jc w:val="left"/>
            </w:pPr>
            <w:r>
              <w:t xml:space="preserve">Klientų Aptarnavimo Darbo Vietų Skaičius</w:t>
            </w:r>
          </w:p>
        </w:tc>
        <w:tc>
          <w:tcPr>
            <w:tcMar>
              <w:top w:type="dxa" w:w="100"/>
              <w:left w:type="dxa" w:w="120"/>
              <w:bottom w:type="dxa" w:w="100"/>
              <w:right w:type="dxa" w:w="120"/>
            </w:tcMar>
            <w:vAlign w:val="center"/>
          </w:tcPr>
          <w:p>
            <w:pPr>
              <w:pStyle w:val="MdTableHeader"/>
              <w:jc w:val="left"/>
            </w:pPr>
            <w:r>
              <w:t xml:space="preserve">Paslaugų Sektoriaus BVP (apytikslis)</w:t>
            </w:r>
          </w:p>
        </w:tc>
        <w:tc>
          <w:tcPr>
            <w:tcBorders>
              <w:right w:val="none"/>
            </w:tcBorders>
            <w:tcMar>
              <w:top w:type="dxa" w:w="100"/>
              <w:left w:type="dxa" w:w="120"/>
              <w:bottom w:type="dxa" w:w="100"/>
              <w:right w:type="dxa" w:w="120"/>
            </w:tcMar>
            <w:vAlign w:val="center"/>
          </w:tcPr>
          <w:p>
            <w:pPr>
              <w:pStyle w:val="MdTableHeader"/>
              <w:jc w:val="left"/>
            </w:pPr>
            <w:r>
              <w:t xml:space="preserve">Pagrindimas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Kalifornija</w:t>
            </w:r>
          </w:p>
        </w:tc>
        <w:tc>
          <w:tcPr>
            <w:tcMar>
              <w:top w:type="dxa" w:w="80"/>
              <w:left w:type="dxa" w:w="120"/>
              <w:bottom w:type="dxa" w:w="80"/>
              <w:right w:type="dxa" w:w="120"/>
            </w:tcMar>
            <w:vAlign w:val="center"/>
          </w:tcPr>
          <w:p>
            <w:pPr>
              <w:pStyle w:val="MdTableCell"/>
              <w:jc w:val="left"/>
            </w:pPr>
            <w:r>
              <w:t xml:space="preserve">4.1 mln.</w:t>
            </w:r>
          </w:p>
        </w:tc>
        <w:tc>
          <w:tcPr>
            <w:tcMar>
              <w:top w:type="dxa" w:w="80"/>
              <w:left w:type="dxa" w:w="120"/>
              <w:bottom w:type="dxa" w:w="80"/>
              <w:right w:type="dxa" w:w="120"/>
            </w:tcMar>
            <w:vAlign w:val="center"/>
          </w:tcPr>
          <w:p>
            <w:pPr>
              <w:pStyle w:val="MdTableCell"/>
              <w:jc w:val="left"/>
            </w:pPr>
            <w:r>
              <w:t xml:space="preserve">320 000+</w:t>
            </w:r>
          </w:p>
        </w:tc>
        <w:tc>
          <w:tcPr>
            <w:tcMar>
              <w:top w:type="dxa" w:w="80"/>
              <w:left w:type="dxa" w:w="120"/>
              <w:bottom w:type="dxa" w:w="80"/>
              <w:right w:type="dxa" w:w="120"/>
            </w:tcMar>
            <w:vAlign w:val="center"/>
          </w:tcPr>
          <w:p>
            <w:pPr>
              <w:pStyle w:val="MdTableCell"/>
              <w:jc w:val="left"/>
            </w:pPr>
            <w:r>
              <w:t xml:space="preserve">2.8 trln. USD</w:t>
            </w:r>
          </w:p>
        </w:tc>
        <w:tc>
          <w:tcPr>
            <w:tcBorders>
              <w:right w:val="none"/>
            </w:tcBorders>
            <w:tcMar>
              <w:top w:type="dxa" w:w="80"/>
              <w:left w:type="dxa" w:w="120"/>
              <w:bottom w:type="dxa" w:w="80"/>
              <w:right w:type="dxa" w:w="120"/>
            </w:tcMar>
            <w:vAlign w:val="center"/>
          </w:tcPr>
          <w:p>
            <w:pPr>
              <w:pStyle w:val="MdTableCell"/>
              <w:jc w:val="left"/>
            </w:pPr>
            <w:r>
              <w:t xml:space="preserve">Didžiausia ekonomika, milžiniškas SVV skaičius, didelė konkurencija verčia verslus ieškoti efektyvumo sprendimų. Ypač didelė koncentracija technologijų, nekilnojamojo turto ir profesionalių paslaugų sektoriuose.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Teksasas</w:t>
            </w:r>
          </w:p>
        </w:tc>
        <w:tc>
          <w:tcPr>
            <w:tcMar>
              <w:top w:type="dxa" w:w="80"/>
              <w:left w:type="dxa" w:w="120"/>
              <w:bottom w:type="dxa" w:w="80"/>
              <w:right w:type="dxa" w:w="120"/>
            </w:tcMar>
            <w:vAlign w:val="center"/>
          </w:tcPr>
          <w:p>
            <w:pPr>
              <w:pStyle w:val="MdTableCell"/>
              <w:jc w:val="left"/>
            </w:pPr>
            <w:r>
              <w:t xml:space="preserve">3.0 mln.</w:t>
            </w:r>
          </w:p>
        </w:tc>
        <w:tc>
          <w:tcPr>
            <w:tcMar>
              <w:top w:type="dxa" w:w="80"/>
              <w:left w:type="dxa" w:w="120"/>
              <w:bottom w:type="dxa" w:w="80"/>
              <w:right w:type="dxa" w:w="120"/>
            </w:tcMar>
            <w:vAlign w:val="center"/>
          </w:tcPr>
          <w:p>
            <w:pPr>
              <w:pStyle w:val="MdTableCell"/>
              <w:jc w:val="left"/>
            </w:pPr>
            <w:r>
              <w:t xml:space="preserve">250 000+</w:t>
            </w:r>
          </w:p>
        </w:tc>
        <w:tc>
          <w:tcPr>
            <w:tcMar>
              <w:top w:type="dxa" w:w="80"/>
              <w:left w:type="dxa" w:w="120"/>
              <w:bottom w:type="dxa" w:w="80"/>
              <w:right w:type="dxa" w:w="120"/>
            </w:tcMar>
            <w:vAlign w:val="center"/>
          </w:tcPr>
          <w:p>
            <w:pPr>
              <w:pStyle w:val="MdTableCell"/>
              <w:jc w:val="left"/>
            </w:pPr>
            <w:r>
              <w:t xml:space="preserve">1.5 trln. USD</w:t>
            </w:r>
          </w:p>
        </w:tc>
        <w:tc>
          <w:tcPr>
            <w:tcBorders>
              <w:right w:val="none"/>
            </w:tcBorders>
            <w:tcMar>
              <w:top w:type="dxa" w:w="80"/>
              <w:left w:type="dxa" w:w="120"/>
              <w:bottom w:type="dxa" w:w="80"/>
              <w:right w:type="dxa" w:w="120"/>
            </w:tcMar>
            <w:vAlign w:val="center"/>
          </w:tcPr>
          <w:p>
            <w:pPr>
              <w:pStyle w:val="MdTableCell"/>
              <w:jc w:val="left"/>
            </w:pPr>
            <w:r>
              <w:t xml:space="preserve">Sparčiai auganti ekonomika, verslui palanki aplinka. Didelis statybų, naftos ir dujų paslaugų bei sveikatos apsaugos sektorių aktyvumas.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Florida</w:t>
            </w:r>
          </w:p>
        </w:tc>
        <w:tc>
          <w:tcPr>
            <w:tcMar>
              <w:top w:type="dxa" w:w="80"/>
              <w:left w:type="dxa" w:w="120"/>
              <w:bottom w:type="dxa" w:w="80"/>
              <w:right w:type="dxa" w:w="120"/>
            </w:tcMar>
            <w:vAlign w:val="center"/>
          </w:tcPr>
          <w:p>
            <w:pPr>
              <w:pStyle w:val="MdTableCell"/>
              <w:jc w:val="left"/>
            </w:pPr>
            <w:r>
              <w:t xml:space="preserve">2.8 mln.</w:t>
            </w:r>
          </w:p>
        </w:tc>
        <w:tc>
          <w:tcPr>
            <w:tcMar>
              <w:top w:type="dxa" w:w="80"/>
              <w:left w:type="dxa" w:w="120"/>
              <w:bottom w:type="dxa" w:w="80"/>
              <w:right w:type="dxa" w:w="120"/>
            </w:tcMar>
            <w:vAlign w:val="center"/>
          </w:tcPr>
          <w:p>
            <w:pPr>
              <w:pStyle w:val="MdTableCell"/>
              <w:jc w:val="left"/>
            </w:pPr>
            <w:r>
              <w:t xml:space="preserve">200 000+</w:t>
            </w:r>
          </w:p>
        </w:tc>
        <w:tc>
          <w:tcPr>
            <w:tcMar>
              <w:top w:type="dxa" w:w="80"/>
              <w:left w:type="dxa" w:w="120"/>
              <w:bottom w:type="dxa" w:w="80"/>
              <w:right w:type="dxa" w:w="120"/>
            </w:tcMar>
            <w:vAlign w:val="center"/>
          </w:tcPr>
          <w:p>
            <w:pPr>
              <w:pStyle w:val="MdTableCell"/>
              <w:jc w:val="left"/>
            </w:pPr>
            <w:r>
              <w:t xml:space="preserve">900 mlrd. USD</w:t>
            </w:r>
          </w:p>
        </w:tc>
        <w:tc>
          <w:tcPr>
            <w:tcBorders>
              <w:right w:val="none"/>
            </w:tcBorders>
            <w:tcMar>
              <w:top w:type="dxa" w:w="80"/>
              <w:left w:type="dxa" w:w="120"/>
              <w:bottom w:type="dxa" w:w="80"/>
              <w:right w:type="dxa" w:w="120"/>
            </w:tcMar>
            <w:vAlign w:val="center"/>
          </w:tcPr>
          <w:p>
            <w:pPr>
              <w:pStyle w:val="MdTableCell"/>
              <w:jc w:val="left"/>
            </w:pPr>
            <w:r>
              <w:t xml:space="preserve">Didelis gyventojų tankis, klestintis turizmo, sveikatos apsaugos ir nekilnojamojo turto sektorius. Daug smulkių paslaugų įmonių.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Niujorkas</w:t>
            </w:r>
          </w:p>
        </w:tc>
        <w:tc>
          <w:tcPr>
            <w:tcMar>
              <w:top w:type="dxa" w:w="80"/>
              <w:left w:type="dxa" w:w="120"/>
              <w:bottom w:type="dxa" w:w="80"/>
              <w:right w:type="dxa" w:w="120"/>
            </w:tcMar>
            <w:vAlign w:val="center"/>
          </w:tcPr>
          <w:p>
            <w:pPr>
              <w:pStyle w:val="MdTableCell"/>
              <w:jc w:val="left"/>
            </w:pPr>
            <w:r>
              <w:t xml:space="preserve">2.2 mln.</w:t>
            </w:r>
          </w:p>
        </w:tc>
        <w:tc>
          <w:tcPr>
            <w:tcMar>
              <w:top w:type="dxa" w:w="80"/>
              <w:left w:type="dxa" w:w="120"/>
              <w:bottom w:type="dxa" w:w="80"/>
              <w:right w:type="dxa" w:w="120"/>
            </w:tcMar>
            <w:vAlign w:val="center"/>
          </w:tcPr>
          <w:p>
            <w:pPr>
              <w:pStyle w:val="MdTableCell"/>
              <w:jc w:val="left"/>
            </w:pPr>
            <w:r>
              <w:t xml:space="preserve">180 000+</w:t>
            </w:r>
          </w:p>
        </w:tc>
        <w:tc>
          <w:tcPr>
            <w:tcMar>
              <w:top w:type="dxa" w:w="80"/>
              <w:left w:type="dxa" w:w="120"/>
              <w:bottom w:type="dxa" w:w="80"/>
              <w:right w:type="dxa" w:w="120"/>
            </w:tcMar>
            <w:vAlign w:val="center"/>
          </w:tcPr>
          <w:p>
            <w:pPr>
              <w:pStyle w:val="MdTableCell"/>
              <w:jc w:val="left"/>
            </w:pPr>
            <w:r>
              <w:t xml:space="preserve">1.6 trln. USD</w:t>
            </w:r>
          </w:p>
        </w:tc>
        <w:tc>
          <w:tcPr>
            <w:tcBorders>
              <w:right w:val="none"/>
            </w:tcBorders>
            <w:tcMar>
              <w:top w:type="dxa" w:w="80"/>
              <w:left w:type="dxa" w:w="120"/>
              <w:bottom w:type="dxa" w:w="80"/>
              <w:right w:type="dxa" w:w="120"/>
            </w:tcMar>
            <w:vAlign w:val="center"/>
          </w:tcPr>
          <w:p>
            <w:pPr>
              <w:pStyle w:val="MdTableCell"/>
              <w:jc w:val="left"/>
            </w:pPr>
            <w:r>
              <w:t xml:space="preserve">Finansų, teisinių paslaugų ir nekilnojamojo turto centras. Didelė verslo koncentracija Niujorko mieste sukuria didelį poreikį efektyviam klientų valdymui.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Pensilvanija</w:t>
            </w:r>
          </w:p>
        </w:tc>
        <w:tc>
          <w:tcPr>
            <w:tcBorders>
              <w:bottom w:val="single" w:color="E1E4E8" w:sz="4"/>
            </w:tcBorders>
            <w:tcMar>
              <w:top w:type="dxa" w:w="80"/>
              <w:left w:type="dxa" w:w="120"/>
              <w:bottom w:type="dxa" w:w="80"/>
              <w:right w:type="dxa" w:w="120"/>
            </w:tcMar>
            <w:vAlign w:val="center"/>
          </w:tcPr>
          <w:p>
            <w:pPr>
              <w:pStyle w:val="MdTableCell"/>
              <w:jc w:val="left"/>
            </w:pPr>
            <w:r>
              <w:t xml:space="preserve">1.1 mln.</w:t>
            </w:r>
          </w:p>
        </w:tc>
        <w:tc>
          <w:tcPr>
            <w:tcBorders>
              <w:bottom w:val="single" w:color="E1E4E8" w:sz="4"/>
            </w:tcBorders>
            <w:tcMar>
              <w:top w:type="dxa" w:w="80"/>
              <w:left w:type="dxa" w:w="120"/>
              <w:bottom w:type="dxa" w:w="80"/>
              <w:right w:type="dxa" w:w="120"/>
            </w:tcMar>
            <w:vAlign w:val="center"/>
          </w:tcPr>
          <w:p>
            <w:pPr>
              <w:pStyle w:val="MdTableCell"/>
              <w:jc w:val="left"/>
            </w:pPr>
            <w:r>
              <w:t xml:space="preserve">120 000+</w:t>
            </w:r>
          </w:p>
        </w:tc>
        <w:tc>
          <w:tcPr>
            <w:tcBorders>
              <w:bottom w:val="single" w:color="E1E4E8" w:sz="4"/>
            </w:tcBorders>
            <w:tcMar>
              <w:top w:type="dxa" w:w="80"/>
              <w:left w:type="dxa" w:w="120"/>
              <w:bottom w:type="dxa" w:w="80"/>
              <w:right w:type="dxa" w:w="120"/>
            </w:tcMar>
            <w:vAlign w:val="center"/>
          </w:tcPr>
          <w:p>
            <w:pPr>
              <w:pStyle w:val="MdTableCell"/>
              <w:jc w:val="left"/>
            </w:pPr>
            <w:r>
              <w:t xml:space="preserve">650 mlrd. USD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Stiprus sveikatos apsaugos, gamybos ir profesionalių paslaugų sektorius. Valstija pasižymi dideliu smulkių "šeimos" verslų skaičiumi, kuriems automatizacija yra ypač aktuali.</w:t>
            </w:r>
          </w:p>
        </w:tc>
      </w:tr>
    </w:tbl>
    <w:p>
      <w:pPr>
        <w:pStyle w:val="MdParagraph"/>
      </w:pPr>
      <w:r>
        <w:rPr>
          <w:rStyle w:val="MdStrong"/>
          <w:b/>
          <w:bCs/>
        </w:rPr>
        <w:t xml:space="preserve">Išvada:</w:t>
      </w:r>
      <w:r>
        <w:t xml:space="preserve"> Nors galimybių yra visoje šalyje, koncentruojantis į </w:t>
      </w:r>
      <w:r>
        <w:rPr>
          <w:rStyle w:val="MdStrong"/>
          <w:b/>
          <w:bCs/>
        </w:rPr>
        <w:t xml:space="preserve">Kaliforniją, Teksasą, Floridą ir Niujorką</w:t>
      </w:r>
      <w:r>
        <w:t xml:space="preserve"> galima pasiekti didžiausią rinkos dalį per trumpiausią laiką. Šiose valstijose verslai yra labiau linkę investuoti į technologijas, kurios padeda jiems išlikti konkurencingiems.</w:t>
      </w:r>
    </w:p>
    <w:p>
      <w:pPr>
        <w:pStyle w:val="MdSpace"/>
        <w:spacing w:before="0" w:after="60"/>
      </w:pPr>
    </w:p>
    <w:p>
      <w:pPr>
        <w:pStyle w:val="Heading2"/>
        <w:pStyle w:val="MdHeading2"/>
      </w:pPr>
      <w:r>
        <w:t xml:space="preserve">5. Geriausios Paslaugų Industrijos ir Nišos</w:t>
      </w:r>
    </w:p>
    <w:p>
      <w:pPr>
        <w:pStyle w:val="MdParagraph"/>
      </w:pPr>
      <w:r>
        <w:t xml:space="preserve">Sėkmingam produkto įvedimui į rinką būtina identifikuoti ne tik geografines teritorijas, bet ir konkrečias pramonės šakas, kuriose AI agentų teikiama nauda yra didžiausia. Analizė rodo, kad didžiausią potencialą turi paslaugų sektoriaus įmonės, kurių verslo modelis remiasi susitikimais ir kurioms kiekvienas kliento skambutis yra kritiškai svarbus.</w:t>
      </w:r>
    </w:p>
    <w:p>
      <w:pPr>
        <w:pStyle w:val="MdSpace"/>
        <w:spacing w:before="0" w:after="60"/>
      </w:pPr>
    </w:p>
    <w:p>
      <w:pPr>
        <w:pStyle w:val="Heading3"/>
        <w:pStyle w:val="MdHeading3"/>
      </w:pPr>
      <w:r>
        <w:t xml:space="preserve">Vertinimo Kriterijai</w:t>
      </w:r>
    </w:p>
    <w:p>
      <w:pPr>
        <w:pStyle w:val="MdParagraph"/>
      </w:pPr>
      <w:r>
        <w:t xml:space="preserve">Industrijos buvo vertinamos pagal šiuos kriterijus:</w:t>
      </w:r>
    </w:p>
    <w:p>
      <w:pPr>
        <w:pStyle w:val="MdSpace"/>
        <w:spacing w:before="0" w:after="60"/>
      </w:pPr>
    </w:p>
    <w:p>
      <w:pPr>
        <w:pStyle w:val="MdListItem"/>
        <w:numPr>
          <w:ilvl w:val="0"/>
          <w:numId w:val="2"/>
        </w:numPr>
      </w:pPr>
      <w:r>
        <w:rPr>
          <w:rStyle w:val="MdStrong"/>
          <w:b/>
          <w:bCs/>
        </w:rPr>
        <w:t xml:space="preserve">Pajamų Potencialas:</w:t>
      </w:r>
      <w:r>
        <w:t xml:space="preserve"> Bendras rinkos dydis ir vidutinės pajamos vienai įmonei.</w:t>
      </w:r>
    </w:p>
    <w:p>
      <w:pPr>
        <w:pStyle w:val="MdListItem"/>
        <w:numPr>
          <w:ilvl w:val="0"/>
          <w:numId w:val="2"/>
        </w:numPr>
      </w:pPr>
      <w:r>
        <w:rPr>
          <w:rStyle w:val="MdStrong"/>
          <w:b/>
          <w:bCs/>
        </w:rPr>
        <w:t xml:space="preserve">Pasiruošimas Mokėti:</w:t>
      </w:r>
      <w:r>
        <w:t xml:space="preserve"> Kiek skausminga yra praleistų skambučių problema ir koks yra įrodomas AI sprendimų ROI.</w:t>
      </w:r>
    </w:p>
    <w:p>
      <w:pPr>
        <w:pStyle w:val="MdListItem"/>
        <w:numPr>
          <w:ilvl w:val="0"/>
          <w:numId w:val="2"/>
        </w:numPr>
      </w:pPr>
      <w:r>
        <w:rPr>
          <w:rStyle w:val="MdStrong"/>
          <w:b/>
          <w:bCs/>
        </w:rPr>
        <w:t xml:space="preserve">Pardavimo Paprastumas:</w:t>
      </w:r>
      <w:r>
        <w:t xml:space="preserve"> Kaip greitai ir lengvai pramonės atstovai supranta ir priima AI agentų vertę.</w:t>
      </w:r>
    </w:p>
    <w:p>
      <w:pPr>
        <w:pStyle w:val="MdListItem"/>
        <w:numPr>
          <w:ilvl w:val="0"/>
          <w:numId w:val="2"/>
        </w:numPr>
      </w:pPr>
      <w:r>
        <w:rPr>
          <w:rStyle w:val="MdStrong"/>
          <w:b/>
          <w:bCs/>
        </w:rPr>
        <w:t xml:space="preserve">Įmonių Skaičius:</w:t>
      </w:r>
      <w:r>
        <w:t xml:space="preserve"> Bendras potencialių klientų (SVV) skaičius nišoje.</w:t>
      </w:r>
    </w:p>
    <w:p>
      <w:pPr>
        <w:pStyle w:val="MdSpace"/>
        <w:spacing w:before="0" w:after="60"/>
      </w:pPr>
    </w:p>
    <w:p>
      <w:pPr>
        <w:pStyle w:val="Heading3"/>
        <w:pStyle w:val="MdHeading3"/>
      </w:pPr>
      <w:r>
        <w:t xml:space="preserve">Top 8 Nišos AI Agentų Pardavimui</w:t>
      </w:r>
    </w:p>
    <w:p>
      <w:pPr>
        <w:pStyle w:val="MdParagraph"/>
      </w:pPr>
      <w:r>
        <w:t xml:space="preserve">Remiantis atlikta analize, buvo sudarytas perspektyviausių nišų reitingas.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Niša</w:t>
            </w:r>
          </w:p>
        </w:tc>
        <w:tc>
          <w:tcPr>
            <w:tcMar>
              <w:top w:type="dxa" w:w="100"/>
              <w:left w:type="dxa" w:w="120"/>
              <w:bottom w:type="dxa" w:w="100"/>
              <w:right w:type="dxa" w:w="120"/>
            </w:tcMar>
            <w:vAlign w:val="center"/>
          </w:tcPr>
          <w:p>
            <w:pPr>
              <w:pStyle w:val="MdTableHeader"/>
              <w:jc w:val="left"/>
            </w:pPr>
            <w:r>
              <w:t xml:space="preserve">Pajamų Potencialas (1-5)</w:t>
            </w:r>
          </w:p>
        </w:tc>
        <w:tc>
          <w:tcPr>
            <w:tcMar>
              <w:top w:type="dxa" w:w="100"/>
              <w:left w:type="dxa" w:w="120"/>
              <w:bottom w:type="dxa" w:w="100"/>
              <w:right w:type="dxa" w:w="120"/>
            </w:tcMar>
            <w:vAlign w:val="center"/>
          </w:tcPr>
          <w:p>
            <w:pPr>
              <w:pStyle w:val="MdTableHeader"/>
              <w:jc w:val="left"/>
            </w:pPr>
            <w:r>
              <w:t xml:space="preserve">Pasiruošimas Mokėti (1-5)</w:t>
            </w:r>
          </w:p>
        </w:tc>
        <w:tc>
          <w:tcPr>
            <w:tcMar>
              <w:top w:type="dxa" w:w="100"/>
              <w:left w:type="dxa" w:w="120"/>
              <w:bottom w:type="dxa" w:w="100"/>
              <w:right w:type="dxa" w:w="120"/>
            </w:tcMar>
            <w:vAlign w:val="center"/>
          </w:tcPr>
          <w:p>
            <w:pPr>
              <w:pStyle w:val="MdTableHeader"/>
              <w:jc w:val="left"/>
            </w:pPr>
            <w:r>
              <w:t xml:space="preserve">Pardavimo Paprastumas (1-5)</w:t>
            </w:r>
          </w:p>
        </w:tc>
        <w:tc>
          <w:tcPr>
            <w:tcMar>
              <w:top w:type="dxa" w:w="100"/>
              <w:left w:type="dxa" w:w="120"/>
              <w:bottom w:type="dxa" w:w="100"/>
              <w:right w:type="dxa" w:w="120"/>
            </w:tcMar>
            <w:vAlign w:val="center"/>
          </w:tcPr>
          <w:p>
            <w:pPr>
              <w:pStyle w:val="MdTableHeader"/>
              <w:jc w:val="left"/>
            </w:pPr>
            <w:r>
              <w:t xml:space="preserve">Įmonių Skaičius (1-5)</w:t>
            </w:r>
          </w:p>
        </w:tc>
        <w:tc>
          <w:tcPr>
            <w:tcBorders>
              <w:right w:val="none"/>
            </w:tcBorders>
            <w:tcMar>
              <w:top w:type="dxa" w:w="100"/>
              <w:left w:type="dxa" w:w="120"/>
              <w:bottom w:type="dxa" w:w="100"/>
              <w:right w:type="dxa" w:w="120"/>
            </w:tcMar>
            <w:vAlign w:val="center"/>
          </w:tcPr>
          <w:p>
            <w:pPr>
              <w:pStyle w:val="MdTableHeader"/>
              <w:jc w:val="left"/>
            </w:pPr>
            <w:r>
              <w:t xml:space="preserve">Bendras Balas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Automobilių remontas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Odontologija</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4</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Teisinės paslaugos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5</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Santechnika</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ŠVOK (HVAC)</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3</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Nekilnojamasis turtas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3</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Medicinos SPA (Med Spas)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2</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Stogų dengimas</w:t>
            </w:r>
          </w:p>
        </w:tc>
        <w:tc>
          <w:tcPr>
            <w:tcBorders>
              <w:bottom w:val="single" w:color="E1E4E8" w:sz="4"/>
            </w:tcBorders>
            <w:tcMar>
              <w:top w:type="dxa" w:w="80"/>
              <w:left w:type="dxa" w:w="120"/>
              <w:bottom w:type="dxa" w:w="80"/>
              <w:right w:type="dxa" w:w="120"/>
            </w:tcMar>
            <w:vAlign w:val="center"/>
          </w:tcPr>
          <w:p>
            <w:pPr>
              <w:pStyle w:val="MdTableCell"/>
              <w:jc w:val="left"/>
            </w:pPr>
            <w:r>
              <w:t xml:space="preserve">3</w:t>
            </w:r>
          </w:p>
        </w:tc>
        <w:tc>
          <w:tcPr>
            <w:tcBorders>
              <w:bottom w:val="single" w:color="E1E4E8" w:sz="4"/>
            </w:tcBorders>
            <w:tcMar>
              <w:top w:type="dxa" w:w="80"/>
              <w:left w:type="dxa" w:w="120"/>
              <w:bottom w:type="dxa" w:w="80"/>
              <w:right w:type="dxa" w:w="120"/>
            </w:tcMar>
            <w:vAlign w:val="center"/>
          </w:tcPr>
          <w:p>
            <w:pPr>
              <w:pStyle w:val="MdTableCell"/>
              <w:jc w:val="left"/>
            </w:pPr>
            <w:r>
              <w:t xml:space="preserve">4</w:t>
            </w:r>
          </w:p>
        </w:tc>
        <w:tc>
          <w:tcPr>
            <w:tcBorders>
              <w:bottom w:val="single" w:color="E1E4E8" w:sz="4"/>
            </w:tcBorders>
            <w:tcMar>
              <w:top w:type="dxa" w:w="80"/>
              <w:left w:type="dxa" w:w="120"/>
              <w:bottom w:type="dxa" w:w="80"/>
              <w:right w:type="dxa" w:w="120"/>
            </w:tcMar>
            <w:vAlign w:val="center"/>
          </w:tcPr>
          <w:p>
            <w:pPr>
              <w:pStyle w:val="MdTableCell"/>
              <w:jc w:val="left"/>
            </w:pPr>
            <w:r>
              <w:t xml:space="preserve">4</w:t>
            </w:r>
          </w:p>
        </w:tc>
        <w:tc>
          <w:tcPr>
            <w:tcBorders>
              <w:bottom w:val="single" w:color="E1E4E8" w:sz="4"/>
            </w:tcBorders>
            <w:tcMar>
              <w:top w:type="dxa" w:w="80"/>
              <w:left w:type="dxa" w:w="120"/>
              <w:bottom w:type="dxa" w:w="80"/>
              <w:right w:type="dxa" w:w="120"/>
            </w:tcMar>
            <w:vAlign w:val="center"/>
          </w:tcPr>
          <w:p>
            <w:pPr>
              <w:pStyle w:val="MdTableCell"/>
              <w:jc w:val="left"/>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14</w:t>
            </w:r>
          </w:p>
        </w:tc>
      </w:tr>
    </w:tbl>
    <w:p>
      <w:pPr>
        <w:pStyle w:val="Heading3"/>
        <w:pStyle w:val="MdHeading3"/>
      </w:pPr>
      <w:r>
        <w:t xml:space="preserve">Detalesnė Nišų Apžvalga</w:t>
      </w:r>
    </w:p>
    <w:p>
      <w:pPr>
        <w:pStyle w:val="MdListItem"/>
        <w:numPr>
          <w:ilvl w:val="0"/>
          <w:numId w:val="3"/>
        </w:numPr>
      </w:pPr>
      <w:r>
        <w:rPr>
          <w:rStyle w:val="MdStrong"/>
          <w:b/>
          <w:bCs/>
        </w:rPr>
        <w:t xml:space="preserve">Automobilių Remontas:</w:t>
      </w:r>
      <w:r>
        <w:t xml:space="preserve"> Ši niša išsiskiria kaip absoliuti lyderė. JAV automobilių servisų rinka yra milžiniška (prognozuojama, kad pasieks </w:t>
      </w:r>
      <w:r>
        <w:rPr>
          <w:rStyle w:val="MdStrong"/>
          <w:b/>
          <w:bCs/>
        </w:rPr>
        <w:t xml:space="preserve">308 mlrd. USD iki 2033 m.</w:t>
      </w:r>
      <w:r>
        <w:t xml:space="preserve">), o praleisti skambučiai yra didžiulė problema – servisai praranda 20-40% įeinančių skambučių, kas gali virsti </w:t>
      </w:r>
      <w:r>
        <w:rPr>
          <w:rStyle w:val="MdStrong"/>
          <w:b/>
          <w:bCs/>
        </w:rPr>
        <w:t xml:space="preserve">650 000 USD</w:t>
      </w:r>
      <w:r>
        <w:t xml:space="preserve"> prarastų pajamų per metus vienam servisui. Aiški ir pamatuojama finansinė žala daro AI sprendimų pardavimą ypač paprastą.</w:t>
      </w:r>
    </w:p>
    <w:p>
      <w:pPr>
        <w:pStyle w:val="MdListItem"/>
        <w:numPr>
          <w:ilvl w:val="0"/>
          <w:numId w:val="3"/>
        </w:numPr>
      </w:pPr>
      <w:r>
        <w:rPr>
          <w:rStyle w:val="MdStrong"/>
          <w:b/>
          <w:bCs/>
        </w:rPr>
        <w:t xml:space="preserve">Odontologija:</w:t>
      </w:r>
      <w:r>
        <w:t xml:space="preserve"> Dar viena itin stipri niša. JAV odontologijos paslaugų rinka 2023 m. siekė </w:t>
      </w:r>
      <w:r>
        <w:rPr>
          <w:rStyle w:val="MdStrong"/>
          <w:b/>
          <w:bCs/>
        </w:rPr>
        <w:t xml:space="preserve">192 mlrd. USD</w:t>
      </w:r>
      <w:r>
        <w:t xml:space="preserve">. Klinikos dėl praleistų skambučių praranda iki </w:t>
      </w:r>
      <w:r>
        <w:rPr>
          <w:rStyle w:val="MdStrong"/>
          <w:b/>
          <w:bCs/>
        </w:rPr>
        <w:t xml:space="preserve">100 000 USD</w:t>
      </w:r>
      <w:r>
        <w:t xml:space="preserve"> per metus. AI sprendimai ne tik padeda išvengti šių nuostolių, bet ir 75% sumažina laiko, skiriamo registracijai, kas prilygsta maždaug </w:t>
      </w:r>
      <w:r>
        <w:rPr>
          <w:rStyle w:val="MdStrong"/>
          <w:b/>
          <w:bCs/>
        </w:rPr>
        <w:t xml:space="preserve">21 000 USD</w:t>
      </w:r>
      <w:r>
        <w:t xml:space="preserve"> sutaupymui per metus.</w:t>
      </w:r>
    </w:p>
    <w:p>
      <w:pPr>
        <w:pStyle w:val="MdListItem"/>
        <w:numPr>
          <w:ilvl w:val="0"/>
          <w:numId w:val="3"/>
        </w:numPr>
      </w:pPr>
      <w:r>
        <w:rPr>
          <w:rStyle w:val="MdStrong"/>
          <w:b/>
          <w:bCs/>
        </w:rPr>
        <w:t xml:space="preserve">Teisinės Paslaugos:</w:t>
      </w:r>
      <w:r>
        <w:t xml:space="preserve"> Nors praleisto skambučio kaina čia sunkiau pamatuojama, vieno naujo kliento vertė gali būti milžiniška. AI pagrįsta klientų registracija per pirmuosius šešis mėnesius gali atnešti </w:t>
      </w:r>
      <w:r>
        <w:rPr>
          <w:rStyle w:val="MdStrong"/>
          <w:b/>
          <w:bCs/>
        </w:rPr>
        <w:t xml:space="preserve">3-5 kartus didesnę investicijų grąžą (ROI)</w:t>
      </w:r>
      <w:r>
        <w:t xml:space="preserve">, nes užtikrina, kad joks potencialus klientas neliks be atsako 24/7.</w:t>
      </w:r>
    </w:p>
    <w:p>
      <w:pPr>
        <w:pStyle w:val="MdListItem"/>
        <w:numPr>
          <w:ilvl w:val="0"/>
          <w:numId w:val="3"/>
        </w:numPr>
      </w:pPr>
      <w:r>
        <w:rPr>
          <w:rStyle w:val="MdStrong"/>
          <w:b/>
          <w:bCs/>
        </w:rPr>
        <w:t xml:space="preserve">Santechnika ir ŠVOK (HVAC):</w:t>
      </w:r>
      <w:r>
        <w:t xml:space="preserve"> Šioms industrijoms būdingas didelis skambučių srautas, ypač avarinių iškvietimų, kurie dažnai būna ne darbo valandomis. AI agentas, galintis priimti skambutį, užregistruoti užklausą ir net suplanuoti vizitą bet kuriuo paros metu, yra didžiulis konkurencinis pranašumas. Vienas ŠVOK rangovas, įdiegęs AI balso agentą, susigrąžino daugiau nei </w:t>
      </w:r>
      <w:r>
        <w:rPr>
          <w:rStyle w:val="MdStrong"/>
          <w:b/>
          <w:bCs/>
        </w:rPr>
        <w:t xml:space="preserve">1 mln. USD</w:t>
      </w:r>
      <w:r>
        <w:t xml:space="preserve"> prarastų pajamų.</w:t>
      </w:r>
    </w:p>
    <w:p>
      <w:pPr>
        <w:pStyle w:val="MdListItem"/>
        <w:numPr>
          <w:ilvl w:val="0"/>
          <w:numId w:val="3"/>
        </w:numPr>
      </w:pPr>
      <w:r>
        <w:rPr>
          <w:rStyle w:val="MdStrong"/>
          <w:b/>
          <w:bCs/>
        </w:rPr>
        <w:t xml:space="preserve">Nekilnojamasis Turtas:</w:t>
      </w:r>
      <w:r>
        <w:t xml:space="preserve"> Šiame versle greitis yra viskas. AI agentai, galintys akimirksniu atsakyti į užklausas ir kvalifikuoti potencialius klientus, smarkiai padidina sandorio tikimybę. Skaičiuojama, kad AI administratorius gali sutaupyti brokeriui daugiau nei </w:t>
      </w:r>
      <w:r>
        <w:rPr>
          <w:rStyle w:val="MdStrong"/>
          <w:b/>
          <w:bCs/>
        </w:rPr>
        <w:t xml:space="preserve">50 000 USD</w:t>
      </w:r>
      <w:r>
        <w:t xml:space="preserve"> per metus.</w:t>
      </w:r>
    </w:p>
    <w:p>
      <w:pPr>
        <w:pStyle w:val="MdSpace"/>
        <w:spacing w:before="0" w:after="60"/>
      </w:pPr>
    </w:p>
    <w:p>
      <w:pPr>
        <w:pStyle w:val="MdParagraph"/>
      </w:pPr>
      <w:r>
        <w:rPr>
          <w:rStyle w:val="MdStrong"/>
          <w:b/>
          <w:bCs/>
        </w:rPr>
        <w:t xml:space="preserve">Išvada:</w:t>
      </w:r>
      <w:r>
        <w:t xml:space="preserve"> Koncentracija į </w:t>
      </w:r>
      <w:r>
        <w:rPr>
          <w:rStyle w:val="MdStrong"/>
          <w:b/>
          <w:bCs/>
        </w:rPr>
        <w:t xml:space="preserve">automobilių remonto ir odontologijos</w:t>
      </w:r>
      <w:r>
        <w:t xml:space="preserve"> nišas turėtų būti prioritetas pradinėje stadijoje. Šiose srityse problema yra aštriausia, o sprendimo nauda – lengviausiai įrodoma. Vėliau galima plėstis į kitas, panašias problemas patiriančias paslaugų industrijas.</w:t>
      </w:r>
    </w:p>
    <w:p>
      <w:pPr>
        <w:pStyle w:val="MdSpace"/>
        <w:spacing w:before="0" w:after="60"/>
      </w:pPr>
    </w:p>
    <w:p>
      <w:pPr>
        <w:pStyle w:val="Heading2"/>
        <w:pStyle w:val="MdHeading2"/>
      </w:pPr>
      <w:r>
        <w:t xml:space="preserve">6. Kainodaros Modeliai ir Pajamų Potencialas</w:t>
      </w:r>
    </w:p>
    <w:p>
      <w:pPr>
        <w:pStyle w:val="MdParagraph"/>
      </w:pPr>
      <w:r>
        <w:t xml:space="preserve">Suprasti, kaip nustatyti kainą ir kokio pajamų srauto galima tikėtis, yra esminis verslo plano elementas. JAV AI agentų paslaugų rinka siūlo įvairius kainodaros modelius, o pelno maržos yra itin patrauklios dėl technologijos mastelio ir automatizacijos galimybių.</w:t>
      </w:r>
    </w:p>
    <w:p>
      <w:pPr>
        <w:pStyle w:val="MdSpace"/>
        <w:spacing w:before="0" w:after="60"/>
      </w:pPr>
    </w:p>
    <w:p>
      <w:pPr>
        <w:pStyle w:val="Heading3"/>
        <w:pStyle w:val="MdHeading3"/>
      </w:pPr>
      <w:r>
        <w:t xml:space="preserve">Realistiški Kainodaros Modeliai</w:t>
      </w:r>
    </w:p>
    <w:p>
      <w:pPr>
        <w:pStyle w:val="MdListItem"/>
        <w:numPr>
          <w:ilvl w:val="0"/>
          <w:numId w:val="3"/>
        </w:numPr>
      </w:pPr>
      <w:r>
        <w:rPr>
          <w:rStyle w:val="MdStrong"/>
          <w:b/>
          <w:bCs/>
        </w:rPr>
        <w:t xml:space="preserve">Naudojimu pagrįsta kaina (Pay-per-minute/message):</w:t>
      </w:r>
    </w:p>
    <w:p>
      <w:pPr>
        <w:pStyle w:val="MdListItem"/>
        <w:numPr>
          <w:ilvl w:val="1"/>
          <w:numId w:val="2"/>
        </w:numPr>
      </w:pPr>
      <w:r>
        <w:rPr>
          <w:rStyle w:val="MdStrong"/>
          <w:b/>
          <w:bCs/>
        </w:rPr>
        <w:t xml:space="preserve">Balso agentai:</w:t>
      </w:r>
      <w:r>
        <w:t xml:space="preserve"> Kainos svyruoja nuo </w:t>
      </w:r>
      <w:r>
        <w:rPr>
          <w:rStyle w:val="MdStrong"/>
          <w:b/>
          <w:bCs/>
        </w:rPr>
        <w:t xml:space="preserve">0,10 iki 2,00 USD už minutę</w:t>
      </w:r>
      <w:r>
        <w:t xml:space="preserve">. Verslo lygio sprendimai dažniausiai kainuoja </w:t>
      </w:r>
      <w:r>
        <w:rPr>
          <w:rStyle w:val="MdStrong"/>
          <w:b/>
          <w:bCs/>
        </w:rPr>
        <w:t xml:space="preserve">0,50 - 1,50 USD/min</w:t>
      </w:r>
      <w:r>
        <w:t xml:space="preserve">.</w:t>
      </w:r>
    </w:p>
    <w:p>
      <w:pPr>
        <w:pStyle w:val="MdListItem"/>
        <w:numPr>
          <w:ilvl w:val="1"/>
          <w:numId w:val="2"/>
        </w:numPr>
      </w:pPr>
      <w:r>
        <w:rPr>
          <w:rStyle w:val="MdStrong"/>
          <w:b/>
          <w:bCs/>
        </w:rPr>
        <w:t xml:space="preserve">SMS agentai:</w:t>
      </w:r>
      <w:r>
        <w:t xml:space="preserve"> Kainos yra žymiai mažesnės, pavyzdžiui, </w:t>
      </w:r>
      <w:r>
        <w:rPr>
          <w:rStyle w:val="MdStrong"/>
          <w:b/>
          <w:bCs/>
        </w:rPr>
        <w:t xml:space="preserve">~0,002 USD už žinutę</w:t>
      </w:r>
      <w:r>
        <w:t xml:space="preserve">.</w:t>
      </w:r>
    </w:p>
    <w:p>
      <w:pPr>
        <w:pStyle w:val="MdListItem"/>
        <w:numPr>
          <w:ilvl w:val="1"/>
          <w:numId w:val="2"/>
        </w:numPr>
      </w:pPr>
      <w:r>
        <w:rPr>
          <w:rStyle w:val="MdEm"/>
          <w:i/>
          <w:iCs/>
        </w:rPr>
        <w:t xml:space="preserve">Privalumai:</w:t>
      </w:r>
      <w:r>
        <w:t xml:space="preserve"> Lankstumas klientui. </w:t>
      </w:r>
      <w:r>
        <w:rPr>
          <w:rStyle w:val="MdEm"/>
          <w:i/>
          <w:iCs/>
        </w:rPr>
        <w:t xml:space="preserve">Trūkumai:</w:t>
      </w:r>
      <w:r>
        <w:t xml:space="preserve"> Sunku prognozuoti pajamas ir išlaidas.</w:t>
      </w:r>
    </w:p>
    <w:p>
      <w:pPr>
        <w:pStyle w:val="MdListItem"/>
        <w:numPr>
          <w:ilvl w:val="0"/>
          <w:numId w:val="3"/>
        </w:numPr>
      </w:pPr>
      <w:r>
        <w:rPr>
          <w:rStyle w:val="MdStrong"/>
          <w:b/>
          <w:bCs/>
        </w:rPr>
        <w:t xml:space="preserve">Prenumeratos ir Paketai (Subscription/Bundles):</w:t>
      </w:r>
    </w:p>
    <w:p>
      <w:pPr>
        <w:pStyle w:val="MdListItem"/>
        <w:numPr>
          <w:ilvl w:val="1"/>
          <w:numId w:val="2"/>
        </w:numPr>
      </w:pPr>
      <w:r>
        <w:rPr>
          <w:rStyle w:val="MdStrong"/>
          <w:b/>
          <w:bCs/>
        </w:rPr>
        <w:t xml:space="preserve">Smulkiam verslui:</w:t>
      </w:r>
      <w:r>
        <w:t xml:space="preserve"> Paketai dažniausiai kainuoja </w:t>
      </w:r>
      <w:r>
        <w:rPr>
          <w:rStyle w:val="MdStrong"/>
          <w:b/>
          <w:bCs/>
        </w:rPr>
        <w:t xml:space="preserve">30 - 200 USD per mėnesį</w:t>
      </w:r>
      <w:r>
        <w:t xml:space="preserve">, įskaitant tam tikrą minučių ar funkcijų kiekį.</w:t>
      </w:r>
    </w:p>
    <w:p>
      <w:pPr>
        <w:pStyle w:val="MdListItem"/>
        <w:numPr>
          <w:ilvl w:val="1"/>
          <w:numId w:val="2"/>
        </w:numPr>
      </w:pPr>
      <w:r>
        <w:rPr>
          <w:rStyle w:val="MdStrong"/>
          <w:b/>
          <w:bCs/>
        </w:rPr>
        <w:t xml:space="preserve">Vidutiniam verslui:</w:t>
      </w:r>
      <w:r>
        <w:t xml:space="preserve"> Planai svyruoja nuo </w:t>
      </w:r>
      <w:r>
        <w:rPr>
          <w:rStyle w:val="MdStrong"/>
          <w:b/>
          <w:bCs/>
        </w:rPr>
        <w:t xml:space="preserve">200 iki 1000 USD per mėnesį</w:t>
      </w:r>
      <w:r>
        <w:t xml:space="preserve">, siūlant daugiau minučių ir integracijų.</w:t>
      </w:r>
    </w:p>
    <w:p>
      <w:pPr>
        <w:pStyle w:val="MdListItem"/>
        <w:numPr>
          <w:ilvl w:val="1"/>
          <w:numId w:val="2"/>
        </w:numPr>
      </w:pPr>
      <w:r>
        <w:rPr>
          <w:rStyle w:val="MdStrong"/>
          <w:b/>
          <w:bCs/>
        </w:rPr>
        <w:t xml:space="preserve">Įmonėms (Enterprise):</w:t>
      </w:r>
      <w:r>
        <w:t xml:space="preserve"> Kontraktai prasideda nuo </w:t>
      </w:r>
      <w:r>
        <w:rPr>
          <w:rStyle w:val="MdStrong"/>
          <w:b/>
          <w:bCs/>
        </w:rPr>
        <w:t xml:space="preserve">50 000 USD per metus</w:t>
      </w:r>
      <w:r>
        <w:t xml:space="preserve"> ir gali viršyti 500 000 USD.</w:t>
      </w:r>
    </w:p>
    <w:p>
      <w:pPr>
        <w:pStyle w:val="MdListItem"/>
        <w:numPr>
          <w:ilvl w:val="1"/>
          <w:numId w:val="2"/>
        </w:numPr>
      </w:pPr>
      <w:r>
        <w:rPr>
          <w:rStyle w:val="MdEm"/>
          <w:i/>
          <w:iCs/>
        </w:rPr>
        <w:t xml:space="preserve">Privalumai:</w:t>
      </w:r>
      <w:r>
        <w:t xml:space="preserve"> Prognozuojamos mėnesinės pasikartojančios pajamos (MRR). </w:t>
      </w:r>
      <w:r>
        <w:rPr>
          <w:rStyle w:val="MdEm"/>
          <w:i/>
          <w:iCs/>
        </w:rPr>
        <w:t xml:space="preserve">Trūkumai:</w:t>
      </w:r>
      <w:r>
        <w:t xml:space="preserve"> Mažiau lankstumo klientui.</w:t>
      </w:r>
    </w:p>
    <w:p>
      <w:pPr>
        <w:pStyle w:val="MdListItem"/>
        <w:numPr>
          <w:ilvl w:val="0"/>
          <w:numId w:val="3"/>
        </w:numPr>
      </w:pPr>
      <w:r>
        <w:rPr>
          <w:rStyle w:val="MdStrong"/>
          <w:b/>
          <w:bCs/>
        </w:rPr>
        <w:t xml:space="preserve">Pradiniai Įdiegimo Mokesčiai (Setup Fees):</w:t>
      </w:r>
    </w:p>
    <w:p>
      <w:pPr>
        <w:pStyle w:val="MdListItem"/>
        <w:numPr>
          <w:ilvl w:val="1"/>
          <w:numId w:val="2"/>
        </w:numPr>
      </w:pPr>
      <w:r>
        <w:rPr>
          <w:rStyle w:val="MdStrong"/>
          <w:b/>
          <w:bCs/>
        </w:rPr>
        <w:t xml:space="preserve">Savitarnos diegimas:</w:t>
      </w:r>
      <w:r>
        <w:t xml:space="preserve"> </w:t>
      </w:r>
      <w:r>
        <w:rPr>
          <w:rStyle w:val="MdStrong"/>
          <w:b/>
          <w:bCs/>
        </w:rPr>
        <w:t xml:space="preserve">0 - 200 USD</w:t>
      </w:r>
      <w:r>
        <w:t xml:space="preserve">.</w:t>
      </w:r>
    </w:p>
    <w:p>
      <w:pPr>
        <w:pStyle w:val="MdListItem"/>
        <w:numPr>
          <w:ilvl w:val="1"/>
          <w:numId w:val="2"/>
        </w:numPr>
      </w:pPr>
      <w:r>
        <w:rPr>
          <w:rStyle w:val="MdStrong"/>
          <w:b/>
          <w:bCs/>
        </w:rPr>
        <w:t xml:space="preserve">Profesionalus diegimas su pagalba:</w:t>
      </w:r>
      <w:r>
        <w:t xml:space="preserve"> </w:t>
      </w:r>
      <w:r>
        <w:rPr>
          <w:rStyle w:val="MdStrong"/>
          <w:b/>
          <w:bCs/>
        </w:rPr>
        <w:t xml:space="preserve">500 - 2000 USD</w:t>
      </w:r>
      <w:r>
        <w:t xml:space="preserve">.</w:t>
      </w:r>
    </w:p>
    <w:p>
      <w:pPr>
        <w:pStyle w:val="MdListItem"/>
        <w:numPr>
          <w:ilvl w:val="1"/>
          <w:numId w:val="2"/>
        </w:numPr>
      </w:pPr>
      <w:r>
        <w:rPr>
          <w:rStyle w:val="MdStrong"/>
          <w:b/>
          <w:bCs/>
        </w:rPr>
        <w:t xml:space="preserve">Individualūs sprendimai įmonėms:</w:t>
      </w:r>
      <w:r>
        <w:t xml:space="preserve"> Gali siekti nuo </w:t>
      </w:r>
      <w:r>
        <w:rPr>
          <w:rStyle w:val="MdStrong"/>
          <w:b/>
          <w:bCs/>
        </w:rPr>
        <w:t xml:space="preserve">10 000 iki 100 000+ USD</w:t>
      </w:r>
      <w:r>
        <w:t xml:space="preserve">.</w:t>
      </w:r>
    </w:p>
    <w:p>
      <w:pPr>
        <w:pStyle w:val="MdSpace"/>
        <w:spacing w:before="0" w:after="60"/>
      </w:pPr>
    </w:p>
    <w:p>
      <w:pPr>
        <w:pStyle w:val="MdParagraph"/>
      </w:pPr>
      <w:r>
        <w:rPr>
          <w:rStyle w:val="MdStrong"/>
          <w:b/>
          <w:bCs/>
        </w:rPr>
        <w:t xml:space="preserve">Rekomendacija:</w:t>
      </w:r>
      <w:r>
        <w:t xml:space="preserve"> Pradėti nuo hibridinio modelio – </w:t>
      </w:r>
      <w:r>
        <w:rPr>
          <w:rStyle w:val="MdStrong"/>
          <w:b/>
          <w:bCs/>
        </w:rPr>
        <w:t xml:space="preserve">fiksuotas mėnesinis mokestis (prenumerata) už bazinį minučių/funkcijų paketą + papildomas mokestis už viršytą limitą</w:t>
      </w:r>
      <w:r>
        <w:t xml:space="preserve">. Tai užtikrina stabilias pajamas ir leidžia uždirbti iš aktyvesnių klientų. Pavyzdžiui, planas už </w:t>
      </w:r>
      <w:r>
        <w:rPr>
          <w:rStyle w:val="MdStrong"/>
          <w:b/>
          <w:bCs/>
        </w:rPr>
        <w:t xml:space="preserve">299 USD/mėn.</w:t>
      </w:r>
      <w:r>
        <w:t xml:space="preserve">, į kurį įeina 500 minučių, o viršijus – 0,25 USD/min.</w:t>
      </w:r>
    </w:p>
    <w:p>
      <w:pPr>
        <w:pStyle w:val="MdSpace"/>
        <w:spacing w:before="0" w:after="60"/>
      </w:pPr>
    </w:p>
    <w:p>
      <w:pPr>
        <w:pStyle w:val="Heading3"/>
        <w:pStyle w:val="MdHeading3"/>
      </w:pPr>
      <w:r>
        <w:t xml:space="preserve">Pelno Maržos</w:t>
      </w:r>
    </w:p>
    <w:p>
      <w:pPr>
        <w:pStyle w:val="MdParagraph"/>
      </w:pPr>
      <w:r>
        <w:t xml:space="preserve">AI agentų paslaugų verslas pasižymi </w:t>
      </w:r>
      <w:r>
        <w:rPr>
          <w:rStyle w:val="MdStrong"/>
          <w:b/>
          <w:bCs/>
        </w:rPr>
        <w:t xml:space="preserve">itin aukštomis bendrojo pelno maržomis</w:t>
      </w:r>
      <w:r>
        <w:t xml:space="preserve">, kurios paprastai svyruoja nuo </w:t>
      </w:r>
      <w:r>
        <w:rPr>
          <w:rStyle w:val="MdStrong"/>
          <w:b/>
          <w:bCs/>
        </w:rPr>
        <w:t xml:space="preserve">60% iki 90%</w:t>
      </w:r>
      <w:r>
        <w:t xml:space="preserve">. Realistiškas ir sveikas tikslas yra siekti </w:t>
      </w:r>
      <w:r>
        <w:rPr>
          <w:rStyle w:val="MdStrong"/>
          <w:b/>
          <w:bCs/>
        </w:rPr>
        <w:t xml:space="preserve">60-80%</w:t>
      </w:r>
      <w:r>
        <w:t xml:space="preserve"> maržos. Tai lemia faktas, kad, atlikus pradinį diegimą, operacinės išlaidos yra minimalios, nes didžiąją dalį darbo atlieka automatizuota sistema.</w:t>
      </w:r>
    </w:p>
    <w:p>
      <w:pPr>
        <w:pStyle w:val="MdSpace"/>
        <w:spacing w:before="0" w:after="60"/>
      </w:pPr>
    </w:p>
    <w:p>
      <w:pPr>
        <w:pStyle w:val="Heading3"/>
        <w:pStyle w:val="MdHeading3"/>
      </w:pPr>
      <w:r>
        <w:t xml:space="preserve">Klientų Skaičius, Reikalingas Pasiekti MRR Tikslus</w:t>
      </w:r>
    </w:p>
    <w:p>
      <w:pPr>
        <w:pStyle w:val="MdParagraph"/>
      </w:pPr>
      <w:r>
        <w:t xml:space="preserve">Ši lentelė parodo, kiek klientų reikia turėti, norint pasiekti tam tikrus mėnesinių pasikartojančių pajamų (MRR) tikslus, priklausomai nuo vidutinių pajamų iš vieno kliento.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MRR Tikslas</w:t>
            </w:r>
          </w:p>
        </w:tc>
        <w:tc>
          <w:tcPr>
            <w:tcMar>
              <w:top w:type="dxa" w:w="100"/>
              <w:left w:type="dxa" w:w="120"/>
              <w:bottom w:type="dxa" w:w="100"/>
              <w:right w:type="dxa" w:w="120"/>
            </w:tcMar>
            <w:vAlign w:val="center"/>
          </w:tcPr>
          <w:p>
            <w:pPr>
              <w:pStyle w:val="MdTableHeader"/>
              <w:jc w:val="left"/>
            </w:pPr>
            <w:r>
              <w:t xml:space="preserve">Klientų @ 250 USD/mėn.</w:t>
            </w:r>
          </w:p>
        </w:tc>
        <w:tc>
          <w:tcPr>
            <w:tcMar>
              <w:top w:type="dxa" w:w="100"/>
              <w:left w:type="dxa" w:w="120"/>
              <w:bottom w:type="dxa" w:w="100"/>
              <w:right w:type="dxa" w:w="120"/>
            </w:tcMar>
            <w:vAlign w:val="center"/>
          </w:tcPr>
          <w:p>
            <w:pPr>
              <w:pStyle w:val="MdTableHeader"/>
              <w:jc w:val="left"/>
            </w:pPr>
            <w:r>
              <w:t xml:space="preserve">Klientų @ 750 USD/mėn.</w:t>
            </w:r>
          </w:p>
        </w:tc>
        <w:tc>
          <w:tcPr>
            <w:tcBorders>
              <w:right w:val="none"/>
            </w:tcBorders>
            <w:tcMar>
              <w:top w:type="dxa" w:w="100"/>
              <w:left w:type="dxa" w:w="120"/>
              <w:bottom w:type="dxa" w:w="100"/>
              <w:right w:type="dxa" w:w="120"/>
            </w:tcMar>
            <w:vAlign w:val="center"/>
          </w:tcPr>
          <w:p>
            <w:pPr>
              <w:pStyle w:val="MdTableHeader"/>
              <w:jc w:val="left"/>
            </w:pPr>
            <w:r>
              <w:t xml:space="preserve">Klientų @ 2500 USD/mėn.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5 000 USD</w:t>
            </w:r>
          </w:p>
        </w:tc>
        <w:tc>
          <w:tcPr>
            <w:tcMar>
              <w:top w:type="dxa" w:w="80"/>
              <w:left w:type="dxa" w:w="120"/>
              <w:bottom w:type="dxa" w:w="80"/>
              <w:right w:type="dxa" w:w="120"/>
            </w:tcMar>
            <w:vAlign w:val="center"/>
          </w:tcPr>
          <w:p>
            <w:pPr>
              <w:pStyle w:val="MdTableCell"/>
              <w:jc w:val="left"/>
            </w:pPr>
            <w:r>
              <w:t xml:space="preserve">20</w:t>
            </w:r>
          </w:p>
        </w:tc>
        <w:tc>
          <w:tcPr>
            <w:tcMar>
              <w:top w:type="dxa" w:w="80"/>
              <w:left w:type="dxa" w:w="120"/>
              <w:bottom w:type="dxa" w:w="80"/>
              <w:right w:type="dxa" w:w="120"/>
            </w:tcMar>
            <w:vAlign w:val="center"/>
          </w:tcPr>
          <w:p>
            <w:pPr>
              <w:pStyle w:val="MdTableCell"/>
              <w:jc w:val="left"/>
            </w:pPr>
            <w:r>
              <w:t xml:space="preserve">7</w:t>
            </w:r>
          </w:p>
        </w:tc>
        <w:tc>
          <w:tcPr>
            <w:tcBorders>
              <w:right w:val="none"/>
            </w:tcBorders>
            <w:tcMar>
              <w:top w:type="dxa" w:w="80"/>
              <w:left w:type="dxa" w:w="120"/>
              <w:bottom w:type="dxa" w:w="80"/>
              <w:right w:type="dxa" w:w="120"/>
            </w:tcMar>
            <w:vAlign w:val="center"/>
          </w:tcPr>
          <w:p>
            <w:pPr>
              <w:pStyle w:val="MdTableCell"/>
              <w:jc w:val="left"/>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10 000 USD</w:t>
            </w:r>
          </w:p>
        </w:tc>
        <w:tc>
          <w:tcPr>
            <w:tcMar>
              <w:top w:type="dxa" w:w="80"/>
              <w:left w:type="dxa" w:w="120"/>
              <w:bottom w:type="dxa" w:w="80"/>
              <w:right w:type="dxa" w:w="120"/>
            </w:tcMar>
            <w:vAlign w:val="center"/>
          </w:tcPr>
          <w:p>
            <w:pPr>
              <w:pStyle w:val="MdTableCell"/>
              <w:jc w:val="left"/>
            </w:pPr>
            <w:r>
              <w:t xml:space="preserve">40</w:t>
            </w:r>
          </w:p>
        </w:tc>
        <w:tc>
          <w:tcPr>
            <w:tcMar>
              <w:top w:type="dxa" w:w="80"/>
              <w:left w:type="dxa" w:w="120"/>
              <w:bottom w:type="dxa" w:w="80"/>
              <w:right w:type="dxa" w:w="120"/>
            </w:tcMar>
            <w:vAlign w:val="center"/>
          </w:tcPr>
          <w:p>
            <w:pPr>
              <w:pStyle w:val="MdTableCell"/>
              <w:jc w:val="left"/>
            </w:pPr>
            <w:r>
              <w:t xml:space="preserve">14</w:t>
            </w:r>
          </w:p>
        </w:tc>
        <w:tc>
          <w:tcPr>
            <w:tcBorders>
              <w:right w:val="none"/>
            </w:tcBorders>
            <w:tcMar>
              <w:top w:type="dxa" w:w="80"/>
              <w:left w:type="dxa" w:w="120"/>
              <w:bottom w:type="dxa" w:w="80"/>
              <w:right w:type="dxa" w:w="120"/>
            </w:tcMar>
            <w:vAlign w:val="center"/>
          </w:tcPr>
          <w:p>
            <w:pPr>
              <w:pStyle w:val="MdTableCell"/>
              <w:jc w:val="left"/>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20 000 USD</w:t>
            </w:r>
          </w:p>
        </w:tc>
        <w:tc>
          <w:tcPr>
            <w:tcBorders>
              <w:bottom w:val="single" w:color="E1E4E8" w:sz="4"/>
            </w:tcBorders>
            <w:tcMar>
              <w:top w:type="dxa" w:w="80"/>
              <w:left w:type="dxa" w:w="120"/>
              <w:bottom w:type="dxa" w:w="80"/>
              <w:right w:type="dxa" w:w="120"/>
            </w:tcMar>
            <w:vAlign w:val="center"/>
          </w:tcPr>
          <w:p>
            <w:pPr>
              <w:pStyle w:val="MdTableCell"/>
              <w:jc w:val="left"/>
            </w:pPr>
            <w:r>
              <w:t xml:space="preserve">80</w:t>
            </w:r>
          </w:p>
        </w:tc>
        <w:tc>
          <w:tcPr>
            <w:tcBorders>
              <w:bottom w:val="single" w:color="E1E4E8" w:sz="4"/>
            </w:tcBorders>
            <w:tcMar>
              <w:top w:type="dxa" w:w="80"/>
              <w:left w:type="dxa" w:w="120"/>
              <w:bottom w:type="dxa" w:w="80"/>
              <w:right w:type="dxa" w:w="120"/>
            </w:tcMar>
            <w:vAlign w:val="center"/>
          </w:tcPr>
          <w:p>
            <w:pPr>
              <w:pStyle w:val="MdTableCell"/>
              <w:jc w:val="left"/>
            </w:pPr>
            <w:r>
              <w:t xml:space="preserve">27</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8</w:t>
            </w:r>
          </w:p>
        </w:tc>
      </w:tr>
    </w:tbl>
    <w:p>
      <w:pPr>
        <w:pStyle w:val="MdParagraph"/>
      </w:pPr>
      <w:r>
        <w:t xml:space="preserve">Lentelė aiškiai parodo, kad, orientuojantis į aukštesnės vertės klientus ir siūlant brangesnius planus, MRR tikslus galima pasiekti su žymiai mažesniu klientų skaičiumi.</w:t>
      </w:r>
    </w:p>
    <w:p>
      <w:pPr>
        <w:pStyle w:val="MdSpace"/>
        <w:spacing w:before="0" w:after="60"/>
      </w:pPr>
    </w:p>
    <w:p>
      <w:pPr>
        <w:pStyle w:val="Heading3"/>
        <w:pStyle w:val="MdHeading3"/>
      </w:pPr>
      <w:r>
        <w:t xml:space="preserve">Efektyviausi Pardavimų Kanalai</w:t>
      </w:r>
    </w:p>
    <w:p>
      <w:pPr>
        <w:pStyle w:val="MdListItem"/>
        <w:numPr>
          <w:ilvl w:val="0"/>
          <w:numId w:val="2"/>
        </w:numPr>
      </w:pPr>
      <w:r>
        <w:rPr>
          <w:rStyle w:val="MdStrong"/>
          <w:b/>
          <w:bCs/>
        </w:rPr>
        <w:t xml:space="preserve">Tiesioginiai pardavimai ir "šaltas" kontaktavimas (Cold Outreach):</w:t>
      </w:r>
      <w:r>
        <w:t xml:space="preserve"> Ironiška, bet patys AI agentai gali būti panaudoti automatizuotam potencialių klientų paieškai ir pirminiam kontaktui.</w:t>
      </w:r>
    </w:p>
    <w:p>
      <w:pPr>
        <w:pStyle w:val="MdListItem"/>
        <w:numPr>
          <w:ilvl w:val="0"/>
          <w:numId w:val="2"/>
        </w:numPr>
      </w:pPr>
      <w:r>
        <w:rPr>
          <w:rStyle w:val="MdStrong"/>
          <w:b/>
          <w:bCs/>
        </w:rPr>
        <w:t xml:space="preserve">Strateginės partnerystės:</w:t>
      </w:r>
      <w:r>
        <w:t xml:space="preserve"> Bendradarbiavimas su marketingo agentūromis, CRM tiekėjais, kurie gali rekomenduoti jūsų paslaugą savo klientams.</w:t>
      </w:r>
    </w:p>
    <w:p>
      <w:pPr>
        <w:pStyle w:val="MdListItem"/>
        <w:numPr>
          <w:ilvl w:val="0"/>
          <w:numId w:val="2"/>
        </w:numPr>
      </w:pPr>
      <w:r>
        <w:rPr>
          <w:rStyle w:val="MdStrong"/>
          <w:b/>
          <w:bCs/>
        </w:rPr>
        <w:t xml:space="preserve">Turinio marketingas:</w:t>
      </w:r>
      <w:r>
        <w:t xml:space="preserve"> Autoritetą kuriančių straipsnių, sėkmės istorijų ir vebinarų kūrimas pritraukia klientus, kurie jau ieško sprendimų.</w:t>
      </w:r>
    </w:p>
    <w:p>
      <w:pPr>
        <w:pStyle w:val="MdListItem"/>
        <w:numPr>
          <w:ilvl w:val="0"/>
          <w:numId w:val="2"/>
        </w:numPr>
      </w:pPr>
      <w:r>
        <w:rPr>
          <w:rStyle w:val="MdStrong"/>
          <w:b/>
          <w:bCs/>
        </w:rPr>
        <w:t xml:space="preserve">Rekomendacijų programos:</w:t>
      </w:r>
      <w:r>
        <w:t xml:space="preserve"> Patenkintų klientų skatinimas rekomenduoti jūsų paslaugą.</w:t>
      </w:r>
    </w:p>
    <w:p>
      <w:pPr>
        <w:pStyle w:val="MdSpace"/>
        <w:spacing w:before="0" w:after="60"/>
      </w:pPr>
    </w:p>
    <w:p>
      <w:pPr>
        <w:pStyle w:val="MdParagraph"/>
      </w:pPr>
      <w:r>
        <w:rPr>
          <w:rStyle w:val="MdStrong"/>
          <w:b/>
          <w:bCs/>
        </w:rPr>
        <w:t xml:space="preserve">Išvada:</w:t>
      </w:r>
      <w:r>
        <w:t xml:space="preserve"> Pajamų potencialas yra didelis. Siūlant konkurencingą kainodarą ir orientuojantis į aukštesnės vertės nišas, galima greitai pasiekti reikšmingas mėnesines pajamas. Pelno maržos yra labai palankios, kas daro šį verslo modelį finansiškai patrauklų.</w:t>
      </w:r>
    </w:p>
    <w:p>
      <w:pPr>
        <w:pStyle w:val="MdSpace"/>
        <w:spacing w:before="0" w:after="60"/>
      </w:pPr>
    </w:p>
    <w:p>
      <w:pPr>
        <w:pStyle w:val="Heading2"/>
        <w:pStyle w:val="MdHeading2"/>
      </w:pPr>
      <w:r>
        <w:t xml:space="preserve">7. Alternatyvūs ir Potencialiai Pelningesni AI Produktai</w:t>
      </w:r>
    </w:p>
    <w:p>
      <w:pPr>
        <w:pStyle w:val="MdParagraph"/>
      </w:pPr>
      <w:r>
        <w:t xml:space="preserve">Nors praleistų skambučių agentai yra perspektyvi niša, svarbu apsvarstyti ir kitas AI automatizacijos galimybes JAV rinkoje, kurios gali pasiūlyti dar didesnį pelningumą arba mažesnę konkurenciją. Šiame skyriuje lyginamas galimybių dydis ir konkurencijos lygis keliose alternatyviose srityse.</w:t>
      </w:r>
    </w:p>
    <w:p>
      <w:pPr>
        <w:pStyle w:val="MdSpace"/>
        <w:spacing w:before="0" w:after="60"/>
      </w:pPr>
    </w:p>
    <w:p>
      <w:pPr>
        <w:pStyle w:val="Heading3"/>
        <w:pStyle w:val="MdHeading3"/>
      </w:pPr>
      <w:r>
        <w:t xml:space="preserve">Alternatyvių AI Produktų Apžvalga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AI Produktas/Paslauga</w:t>
            </w:r>
          </w:p>
        </w:tc>
        <w:tc>
          <w:tcPr>
            <w:tcMar>
              <w:top w:type="dxa" w:w="100"/>
              <w:left w:type="dxa" w:w="120"/>
              <w:bottom w:type="dxa" w:w="100"/>
              <w:right w:type="dxa" w:w="120"/>
            </w:tcMar>
            <w:vAlign w:val="center"/>
          </w:tcPr>
          <w:p>
            <w:pPr>
              <w:pStyle w:val="MdTableHeader"/>
              <w:jc w:val="left"/>
            </w:pPr>
            <w:r>
              <w:t xml:space="preserve">Galimybių Dydis (1-5)</w:t>
            </w:r>
          </w:p>
        </w:tc>
        <w:tc>
          <w:tcPr>
            <w:tcMar>
              <w:top w:type="dxa" w:w="100"/>
              <w:left w:type="dxa" w:w="120"/>
              <w:bottom w:type="dxa" w:w="100"/>
              <w:right w:type="dxa" w:w="120"/>
            </w:tcMar>
            <w:vAlign w:val="center"/>
          </w:tcPr>
          <w:p>
            <w:pPr>
              <w:pStyle w:val="MdTableHeader"/>
              <w:jc w:val="left"/>
            </w:pPr>
            <w:r>
              <w:t xml:space="preserve">Konkurencijos Lygis (1-5)</w:t>
            </w:r>
          </w:p>
        </w:tc>
        <w:tc>
          <w:tcPr>
            <w:tcBorders>
              <w:right w:val="none"/>
            </w:tcBorders>
            <w:tcMar>
              <w:top w:type="dxa" w:w="100"/>
              <w:left w:type="dxa" w:w="120"/>
              <w:bottom w:type="dxa" w:w="100"/>
              <w:right w:type="dxa" w:w="120"/>
            </w:tcMar>
            <w:vAlign w:val="center"/>
          </w:tcPr>
          <w:p>
            <w:pPr>
              <w:pStyle w:val="MdTableHeader"/>
              <w:jc w:val="left"/>
            </w:pPr>
            <w:r>
              <w:t xml:space="preserve">Aprašymas ir Potencialas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Virtualus Administratorius (Receptionist)</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4</w:t>
            </w:r>
          </w:p>
        </w:tc>
        <w:tc>
          <w:tcPr>
            <w:tcBorders>
              <w:right w:val="none"/>
            </w:tcBorders>
            <w:tcMar>
              <w:top w:type="dxa" w:w="80"/>
              <w:left w:type="dxa" w:w="120"/>
              <w:bottom w:type="dxa" w:w="80"/>
              <w:right w:type="dxa" w:w="120"/>
            </w:tcMar>
            <w:vAlign w:val="center"/>
          </w:tcPr>
          <w:p>
            <w:pPr>
              <w:pStyle w:val="MdTableCell"/>
              <w:jc w:val="left"/>
            </w:pPr>
            <w:r>
              <w:t xml:space="preserve">Tai yra platesnė koncepcija nei vien praleistų skambučių agentas. Ji apima ne tik atsakymus į skambučius, bet ir jų peradresavimą, atsakymus į dažniausiai užduodamus klausimus (DUK), kelių kalbų palaikymą ir sudėtingesnį pokalbio valdymą. </w:t>
            </w:r>
            <w:r>
              <w:rPr>
                <w:rStyle w:val="MdStrong"/>
                <w:b/>
                <w:bCs/>
              </w:rPr>
              <w:t xml:space="preserve">Rinka yra milžiniška</w:t>
            </w:r>
            <w:r>
              <w:t xml:space="preserve"> (prognozuojama, kad augs nuo 1,7 mlrd. USD 2025 m. iki </w:t>
            </w:r>
            <w:r>
              <w:rPr>
                <w:rStyle w:val="MdStrong"/>
                <w:b/>
                <w:bCs/>
              </w:rPr>
              <w:t xml:space="preserve">5,1 mlrd. USD 2030 m.</w:t>
            </w:r>
            <w:r>
              <w:t xml:space="preserve">). AI administratoriai gali sutaupyti įmonėms vidutiniškai </w:t>
            </w:r>
            <w:r>
              <w:rPr>
                <w:rStyle w:val="MdStrong"/>
                <w:b/>
                <w:bCs/>
              </w:rPr>
              <w:t xml:space="preserve">36 000 USD per metus</w:t>
            </w:r>
            <w:r>
              <w:t xml:space="preserve">, palyginti su žmogumi-administratoriumi, o investicijų grąža (ROI) siekia vidutiniškai </w:t>
            </w:r>
            <w:r>
              <w:rPr>
                <w:rStyle w:val="MdStrong"/>
                <w:b/>
                <w:bCs/>
              </w:rPr>
              <w:t xml:space="preserve">4.2x</w:t>
            </w:r>
            <w:r>
              <w:t xml:space="preserve"> per pirmuosius metus. Nors konkurencija didelė, galimybės diferencijuotis per funkcijų gilumą ir kokybę yra didelės.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Atsiliepimų Valdymas (Review Management)</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Borders>
              <w:right w:val="none"/>
            </w:tcBorders>
            <w:tcMar>
              <w:top w:type="dxa" w:w="80"/>
              <w:left w:type="dxa" w:w="120"/>
              <w:bottom w:type="dxa" w:w="80"/>
              <w:right w:type="dxa" w:w="120"/>
            </w:tcMar>
            <w:vAlign w:val="center"/>
          </w:tcPr>
          <w:p>
            <w:pPr>
              <w:pStyle w:val="MdTableCell"/>
              <w:jc w:val="left"/>
            </w:pPr>
            <w:r>
              <w:t xml:space="preserve">Šis įrankis automatiškai stebi klientų atsiliepimus įvairiose platformose (Google, Yelp, Facebook), atsako į juos pagal iš anksto nustatytus scenarijus ir skatina patenkintus klientus palikti teigiamus atsiliepimus. Tai yra kritiškai svarbu vietiniams verslams. Šiaurės Amerikos atsiliepimų valdymo programinės įrangos rinka 2025 m. vertinama </w:t>
            </w:r>
            <w:r>
              <w:rPr>
                <w:rStyle w:val="MdStrong"/>
                <w:b/>
                <w:bCs/>
              </w:rPr>
              <w:t xml:space="preserve">5,67 mlrd. USD</w:t>
            </w:r>
            <w:r>
              <w:t xml:space="preserve"> ir prognozuojama, kad pasieks </w:t>
            </w:r>
            <w:r>
              <w:rPr>
                <w:rStyle w:val="MdStrong"/>
                <w:b/>
                <w:bCs/>
              </w:rPr>
              <w:t xml:space="preserve">13,54 mlrd. USD iki 2033 m.</w:t>
            </w:r>
            <w:r>
              <w:t xml:space="preserve"> Konkurencija yra didelė (Podium, BirdEye, Reputation.com), tačiau poreikis yra universalus.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Potencialių Klientų "Pašildymas" (Lead Follow-up)</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3</w:t>
            </w:r>
          </w:p>
        </w:tc>
        <w:tc>
          <w:tcPr>
            <w:tcBorders>
              <w:right w:val="none"/>
            </w:tcBorders>
            <w:tcMar>
              <w:top w:type="dxa" w:w="80"/>
              <w:left w:type="dxa" w:w="120"/>
              <w:bottom w:type="dxa" w:w="80"/>
              <w:right w:type="dxa" w:w="120"/>
            </w:tcMar>
            <w:vAlign w:val="center"/>
          </w:tcPr>
          <w:p>
            <w:pPr>
              <w:pStyle w:val="MdTableCell"/>
              <w:jc w:val="left"/>
            </w:pPr>
            <w:r>
              <w:t xml:space="preserve">Šis AI agentas automatiškai ir sistemingai kontaktuoja su potencialiais klientais (leads), kurie parodė pradinį susidomėjimą, bet nepirko. Agentas gali siųsti personalizuotas SMS žinutes ar el. laiškus per tam tikrą laikotarpį, priminti apie pasiūlymą ir atsakyti į klausimus, kol klientas bus paruoštas kalbėtis su pardavėju. Tai sprendžia didelę problemą, nes dauguma pardavėjų nustoja kontaktuoti po 1-2 bandymų. Rinka didelė, o specializuotų, lengvai prieinamų sprendimų SVV trūksta.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AI Socialinių Tinklų Valdymas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5</w:t>
            </w:r>
          </w:p>
        </w:tc>
        <w:tc>
          <w:tcPr>
            <w:tcBorders>
              <w:right w:val="none"/>
            </w:tcBorders>
            <w:tcMar>
              <w:top w:type="dxa" w:w="80"/>
              <w:left w:type="dxa" w:w="120"/>
              <w:bottom w:type="dxa" w:w="80"/>
              <w:right w:type="dxa" w:w="120"/>
            </w:tcMar>
            <w:vAlign w:val="center"/>
          </w:tcPr>
          <w:p>
            <w:pPr>
              <w:pStyle w:val="MdTableCell"/>
              <w:jc w:val="left"/>
            </w:pPr>
            <w:r>
              <w:t xml:space="preserve">AI įrankiai, kurie generuoja turinį socialiniams tinklams, planuoja įrašus, atsako į komentarus ir analizuoja auditorijos įsitraukimą. Nors rinka yra didelė, ji yra </w:t>
            </w:r>
            <w:r>
              <w:rPr>
                <w:rStyle w:val="MdStrong"/>
                <w:b/>
                <w:bCs/>
              </w:rPr>
              <w:t xml:space="preserve">itin konkurencinga ir perpildyta</w:t>
            </w:r>
            <w:r>
              <w:t xml:space="preserve"> įvairiais įrankiais (nuo Canva iki Buffer ir Hootsuite). Išsiskirti šioje rinkoje yra labai sunku.</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AI Sprendimai Sveikatos Apsaugai (HIPAA Compliant)</w:t>
            </w:r>
          </w:p>
        </w:tc>
        <w:tc>
          <w:tcPr>
            <w:tcBorders>
              <w:bottom w:val="single" w:color="E1E4E8" w:sz="4"/>
            </w:tcBorders>
            <w:tcMar>
              <w:top w:type="dxa" w:w="80"/>
              <w:left w:type="dxa" w:w="120"/>
              <w:bottom w:type="dxa" w:w="80"/>
              <w:right w:type="dxa" w:w="120"/>
            </w:tcMar>
            <w:vAlign w:val="center"/>
          </w:tcPr>
          <w:p>
            <w:pPr>
              <w:pStyle w:val="MdTableCell"/>
              <w:jc w:val="left"/>
            </w:pPr>
            <w:r>
              <w:t xml:space="preserve">5</w:t>
            </w:r>
          </w:p>
        </w:tc>
        <w:tc>
          <w:tcPr>
            <w:tcBorders>
              <w:bottom w:val="single" w:color="E1E4E8" w:sz="4"/>
            </w:tcBorders>
            <w:tcMar>
              <w:top w:type="dxa" w:w="80"/>
              <w:left w:type="dxa" w:w="120"/>
              <w:bottom w:type="dxa" w:w="80"/>
              <w:right w:type="dxa" w:w="120"/>
            </w:tcMar>
            <w:vAlign w:val="center"/>
          </w:tcPr>
          <w:p>
            <w:pPr>
              <w:pStyle w:val="MdTableCell"/>
              <w:jc w:val="left"/>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Tai apima ne tik susitikimų planavimą, bet ir pacientų priminimus, atsakymus į klausimus apie paslaugas, pagalbą pildant formas ir net pirminę simptomų patikrą. </w:t>
            </w:r>
            <w:r>
              <w:rPr>
                <w:rStyle w:val="MdStrong"/>
                <w:b/>
                <w:bCs/>
              </w:rPr>
              <w:t xml:space="preserve">Didžiausias barjeras ir kartu didžiausias privalumas yra HIPAA atitiktis</w:t>
            </w:r>
            <w:r>
              <w:t xml:space="preserve">. Įmonės, kurios gali užtikrinti duomenų saugumą, turi didžiulį konkurencinį pranašumą. Rinkos potencialas milžiniškas, o specializuotų, patikimų žaidėjų vis dar trūksta.</w:t>
            </w:r>
          </w:p>
        </w:tc>
      </w:tr>
    </w:tbl>
    <w:p>
      <w:pPr>
        <w:pStyle w:val="Heading3"/>
        <w:pStyle w:val="MdHeading3"/>
      </w:pPr>
      <w:r>
        <w:t xml:space="preserve">Lyginamoji Išvada</w:t>
      </w:r>
    </w:p>
    <w:p>
      <w:pPr>
        <w:pStyle w:val="MdListItem"/>
        <w:numPr>
          <w:ilvl w:val="0"/>
          <w:numId w:val="2"/>
        </w:numPr>
      </w:pPr>
      <w:r>
        <w:rPr>
          <w:rStyle w:val="MdStrong"/>
          <w:b/>
          <w:bCs/>
        </w:rPr>
        <w:t xml:space="preserve">Didžiausias potencialas su vidutine/aukšta konkurencija:</w:t>
      </w:r>
      <w:r>
        <w:t xml:space="preserve"> </w:t>
      </w:r>
      <w:r>
        <w:rPr>
          <w:rStyle w:val="MdStrong"/>
          <w:b/>
          <w:bCs/>
        </w:rPr>
        <w:t xml:space="preserve">AI Virtualus Administratorius</w:t>
      </w:r>
      <w:r>
        <w:t xml:space="preserve"> ir </w:t>
      </w:r>
      <w:r>
        <w:rPr>
          <w:rStyle w:val="MdStrong"/>
          <w:b/>
          <w:bCs/>
        </w:rPr>
        <w:t xml:space="preserve">AI Sprendimai Sveikatos Apsaugai</w:t>
      </w:r>
      <w:r>
        <w:t xml:space="preserve">. Šios sritys reikalauja didesnių pradinių investicijų (ypač sveikatos apsauga dėl HIPAA), bet siūlo didžiausią ilgalaikį atlygį ir galimybę sukurti tvarų verslą.</w:t>
      </w:r>
    </w:p>
    <w:p>
      <w:pPr>
        <w:pStyle w:val="MdListItem"/>
        <w:numPr>
          <w:ilvl w:val="0"/>
          <w:numId w:val="2"/>
        </w:numPr>
      </w:pPr>
      <w:r>
        <w:rPr>
          <w:rStyle w:val="MdStrong"/>
          <w:b/>
          <w:bCs/>
        </w:rPr>
        <w:t xml:space="preserve">Geras balansas tarp potencialo ir konkurencijos:</w:t>
      </w:r>
      <w:r>
        <w:t xml:space="preserve"> </w:t>
      </w:r>
      <w:r>
        <w:rPr>
          <w:rStyle w:val="MdStrong"/>
          <w:b/>
          <w:bCs/>
        </w:rPr>
        <w:t xml:space="preserve">AI Potencialių Klientų "Pašildymas"</w:t>
      </w:r>
      <w:r>
        <w:t xml:space="preserve">. Ši niša yra mažiau techniškai sudėtinga nei pilnas virtualus administratorius, bet sprendžia labai opią pardavimų problemą, o konkurencija yra mažesnė.</w:t>
      </w:r>
    </w:p>
    <w:p>
      <w:pPr>
        <w:pStyle w:val="MdListItem"/>
        <w:numPr>
          <w:ilvl w:val="0"/>
          <w:numId w:val="2"/>
        </w:numPr>
      </w:pPr>
      <w:r>
        <w:rPr>
          <w:rStyle w:val="MdStrong"/>
          <w:b/>
          <w:bCs/>
        </w:rPr>
        <w:t xml:space="preserve">Didelė konkurencija:</w:t>
      </w:r>
      <w:r>
        <w:t xml:space="preserve"> </w:t>
      </w:r>
      <w:r>
        <w:rPr>
          <w:rStyle w:val="MdStrong"/>
          <w:b/>
          <w:bCs/>
        </w:rPr>
        <w:t xml:space="preserve">AI Atsiliepimų Valdymas</w:t>
      </w:r>
      <w:r>
        <w:t xml:space="preserve"> ir ypač </w:t>
      </w:r>
      <w:r>
        <w:rPr>
          <w:rStyle w:val="MdStrong"/>
          <w:b/>
          <w:bCs/>
        </w:rPr>
        <w:t xml:space="preserve">AI Socialinių Tinklų Valdymas</w:t>
      </w:r>
      <w:r>
        <w:t xml:space="preserve">. Nors poreikis yra, rinka yra perpildyta, todėl naujam žaidėjui įsitvirtinti būtų labai sudėtinga.</w:t>
      </w:r>
    </w:p>
    <w:p>
      <w:pPr>
        <w:pStyle w:val="MdSpace"/>
        <w:spacing w:before="0" w:after="60"/>
      </w:pPr>
    </w:p>
    <w:p>
      <w:pPr>
        <w:pStyle w:val="MdParagraph"/>
      </w:pPr>
      <w:r>
        <w:rPr>
          <w:rStyle w:val="MdStrong"/>
          <w:b/>
          <w:bCs/>
        </w:rPr>
        <w:t xml:space="preserve">Rekomendacija:</w:t>
      </w:r>
      <w:r>
        <w:t xml:space="preserve"> Pradėti nuo </w:t>
      </w:r>
      <w:r>
        <w:rPr>
          <w:rStyle w:val="MdStrong"/>
          <w:b/>
          <w:bCs/>
        </w:rPr>
        <w:t xml:space="preserve">praleistų skambučių agento</w:t>
      </w:r>
      <w:r>
        <w:t xml:space="preserve">, nes tai yra aiškus ir lengvai parduodamas sprendimas. Sėkmės atveju, natūrali evoliucija būtų plėstis į </w:t>
      </w:r>
      <w:r>
        <w:rPr>
          <w:rStyle w:val="MdStrong"/>
          <w:b/>
          <w:bCs/>
        </w:rPr>
        <w:t xml:space="preserve">pilną AI Virtualaus Administratoriaus paslaugą</w:t>
      </w:r>
      <w:r>
        <w:t xml:space="preserve">, pridedant daugiau funkcijų. Lygiagrečiai, verta tyrinėti galimybę sukurti specializuotą, </w:t>
      </w:r>
      <w:r>
        <w:rPr>
          <w:rStyle w:val="MdStrong"/>
          <w:b/>
          <w:bCs/>
        </w:rPr>
        <w:t xml:space="preserve">HIPAA reikalavimus atitinkantį sprendimą medicinos sektoriui</w:t>
      </w:r>
      <w:r>
        <w:t xml:space="preserve">, nes tai yra viena pelningiausių ir sparčiausiai augančių nišų.</w:t>
      </w:r>
    </w:p>
    <w:p>
      <w:pPr>
        <w:pStyle w:val="MdSpace"/>
        <w:spacing w:before="0" w:after="60"/>
      </w:pPr>
    </w:p>
    <w:p>
      <w:pPr>
        <w:pStyle w:val="Heading2"/>
        <w:pStyle w:val="MdHeading2"/>
      </w:pPr>
      <w:r>
        <w:t xml:space="preserve">8. Apibendrinimas ir Strateginis Veiksmų Planas</w:t>
      </w:r>
    </w:p>
    <w:p>
      <w:pPr>
        <w:pStyle w:val="MdParagraph"/>
      </w:pPr>
      <w:r>
        <w:t xml:space="preserve">Ši išsami JAV rinkos analizė atskleidė, kad AI agentų, skirtų praleistų skambučių valdymui ir susitikimų planavimui, verslo idėja yra ne tik perspektyvi, bet ir finansiškai labai patraukli. Rinka yra didelė, auganti, o problema, kurią sprendžia produktas – reali ir skausminga daugeliui smulkaus ir vidutinio verslo įmonių.</w:t>
      </w:r>
    </w:p>
    <w:p>
      <w:pPr>
        <w:pStyle w:val="MdSpace"/>
        <w:spacing w:before="0" w:after="60"/>
      </w:pPr>
    </w:p>
    <w:p>
      <w:pPr>
        <w:pStyle w:val="Heading3"/>
        <w:pStyle w:val="MdHeading3"/>
      </w:pPr>
      <w:r>
        <w:t xml:space="preserve">Pagrindinės Įžvalgos</w:t>
      </w:r>
    </w:p>
    <w:p>
      <w:pPr>
        <w:pStyle w:val="MdListItem"/>
        <w:numPr>
          <w:ilvl w:val="0"/>
          <w:numId w:val="3"/>
        </w:numPr>
      </w:pPr>
      <w:r>
        <w:rPr>
          <w:rStyle w:val="MdStrong"/>
          <w:b/>
          <w:bCs/>
        </w:rPr>
        <w:t xml:space="preserve">Didelė ir Auganti Rinka:</w:t>
      </w:r>
      <w:r>
        <w:t xml:space="preserve"> JAV SVV kasmet praranda šimtus tūkstančių dolerių dėl praleistų skambučių. Tai sukuria akivaizdų poreikį automatizuotiems sprendimams. Susijusių AI rinkų augimo prognozės (25%+ CAGR) rodo ilgalaikį potencialą.</w:t>
      </w:r>
    </w:p>
    <w:p>
      <w:pPr>
        <w:pStyle w:val="MdListItem"/>
        <w:numPr>
          <w:ilvl w:val="0"/>
          <w:numId w:val="3"/>
        </w:numPr>
      </w:pPr>
      <w:r>
        <w:rPr>
          <w:rStyle w:val="MdStrong"/>
          <w:b/>
          <w:bCs/>
        </w:rPr>
        <w:t xml:space="preserve">Aiški Vertė Klientui:</w:t>
      </w:r>
      <w:r>
        <w:t xml:space="preserve"> Produktas siūlo aiškiai pamatuojamą investicijų grąžą (ROI) per padidėjusias pajamas (užfiksuoti prarasti klientai) ir sumažėjusias išlaidas (mažesnis poreikis administratoriams).</w:t>
      </w:r>
    </w:p>
    <w:p>
      <w:pPr>
        <w:pStyle w:val="MdListItem"/>
        <w:numPr>
          <w:ilvl w:val="0"/>
          <w:numId w:val="3"/>
        </w:numPr>
      </w:pPr>
      <w:r>
        <w:rPr>
          <w:rStyle w:val="MdStrong"/>
          <w:b/>
          <w:bCs/>
        </w:rPr>
        <w:t xml:space="preserve">Konkurencinga, bet Nesukonkretėjusi Rinka:</w:t>
      </w:r>
      <w:r>
        <w:t xml:space="preserve"> Nors konkurentų yra, rinka nėra dominuojama vieno ar kelių žaidėjų. Yra daug erdvės naujiems dalyviams, ypač tiems, kurie gali pasiūlyti geresnę kainodarą, gilesnę specializaciją nišoms arba aukštesnę paslaugų kokybę.</w:t>
      </w:r>
    </w:p>
    <w:p>
      <w:pPr>
        <w:pStyle w:val="MdListItem"/>
        <w:numPr>
          <w:ilvl w:val="0"/>
          <w:numId w:val="3"/>
        </w:numPr>
      </w:pPr>
      <w:r>
        <w:rPr>
          <w:rStyle w:val="MdStrong"/>
          <w:b/>
          <w:bCs/>
        </w:rPr>
        <w:t xml:space="preserve">Aukštas Pelningumas:</w:t>
      </w:r>
      <w:r>
        <w:t xml:space="preserve"> Dėl automatizacijos, šis verslo modelis pasižymi itin aukštomis pelno maržomis (60-80%), kas leidžia greitai pasiekti pelningumą ir reinvestuoti į augimą.</w:t>
      </w:r>
    </w:p>
    <w:p>
      <w:pPr>
        <w:pStyle w:val="MdListItem"/>
        <w:numPr>
          <w:ilvl w:val="0"/>
          <w:numId w:val="3"/>
        </w:numPr>
      </w:pPr>
      <w:r>
        <w:rPr>
          <w:rStyle w:val="MdStrong"/>
          <w:b/>
          <w:bCs/>
        </w:rPr>
        <w:t xml:space="preserve">Aiški Tikslinė Auditorija:</w:t>
      </w:r>
      <w:r>
        <w:t xml:space="preserve"> Didžiausias potencialas slypi paslaugų sektoriuje. </w:t>
      </w:r>
      <w:r>
        <w:rPr>
          <w:rStyle w:val="MdStrong"/>
          <w:b/>
          <w:bCs/>
        </w:rPr>
        <w:t xml:space="preserve">Automobilių remonto</w:t>
      </w:r>
      <w:r>
        <w:t xml:space="preserve"> ir </w:t>
      </w:r>
      <w:r>
        <w:rPr>
          <w:rStyle w:val="MdStrong"/>
          <w:b/>
          <w:bCs/>
        </w:rPr>
        <w:t xml:space="preserve">odontologijos</w:t>
      </w:r>
      <w:r>
        <w:t xml:space="preserve"> nišos išsiskiria kaip idealūs pradiniai taikiniai. Geografiškai, daugiausiai potencialo turi </w:t>
      </w:r>
      <w:r>
        <w:rPr>
          <w:rStyle w:val="MdStrong"/>
          <w:b/>
          <w:bCs/>
        </w:rPr>
        <w:t xml:space="preserve">Kalifornijos, Teksaso, Floridos ir Niujorko</w:t>
      </w:r>
      <w:r>
        <w:t xml:space="preserve"> valstijos.</w:t>
      </w:r>
    </w:p>
    <w:p>
      <w:pPr>
        <w:pStyle w:val="MdSpace"/>
        <w:spacing w:before="0" w:after="60"/>
      </w:pPr>
    </w:p>
    <w:p>
      <w:pPr>
        <w:pStyle w:val="Heading3"/>
        <w:pStyle w:val="MdHeading3"/>
      </w:pPr>
      <w:r>
        <w:t xml:space="preserve">Ar Programa Apskritai Verta?</w:t>
      </w:r>
    </w:p>
    <w:p>
      <w:pPr>
        <w:pStyle w:val="MdParagraph"/>
      </w:pPr>
      <w:r>
        <w:rPr>
          <w:rStyle w:val="MdStrong"/>
          <w:b/>
          <w:bCs/>
        </w:rPr>
        <w:t xml:space="preserve">Taip, vienareikšmiškai.</w:t>
      </w:r>
      <w:r>
        <w:t xml:space="preserve"> Remiantis visais surinktais duomenimis, AI agentų, skirtų praleistiems skambučiams, kūrimas ir pardavimas JAV rinkai yra labai verta ir potencialiai itin pelninga veikla. Svarbiausia yra teisingai pasirinkti strategiją, kainodarą ir tikslinę auditoriją.</w:t>
      </w:r>
    </w:p>
    <w:p>
      <w:pPr>
        <w:pStyle w:val="MdSpace"/>
        <w:spacing w:before="0" w:after="60"/>
      </w:pPr>
    </w:p>
    <w:p>
      <w:pPr>
        <w:pStyle w:val="Heading3"/>
        <w:pStyle w:val="MdHeading3"/>
      </w:pPr>
      <w:r>
        <w:t xml:space="preserve">Strateginis Veiksmų Planas</w:t>
      </w:r>
    </w:p>
    <w:p>
      <w:pPr>
        <w:pStyle w:val="MdListItem"/>
        <w:numPr>
          <w:ilvl w:val="0"/>
          <w:numId w:val="3"/>
        </w:numPr>
      </w:pPr>
      <w:r>
        <w:rPr>
          <w:rStyle w:val="MdStrong"/>
          <w:b/>
          <w:bCs/>
        </w:rPr>
        <w:t xml:space="preserve">Produkto Vystymas (MVP - Minimum Viable Product):</w:t>
      </w:r>
    </w:p>
    <w:p>
      <w:pPr>
        <w:pStyle w:val="MdListItem"/>
        <w:numPr>
          <w:ilvl w:val="1"/>
          <w:numId w:val="2"/>
        </w:numPr>
      </w:pPr>
      <w:r>
        <w:t xml:space="preserve">Sukurti bazinę produkto versiją, kuri atlieka pagrindines funkcijas: atpažįsta praleistą skambutį, išsiunčia SMS, pradeda pokalbį su tikslu užregistruoti susitikimą ir sinchronizuojasi su Google Calendar.</w:t>
      </w:r>
    </w:p>
    <w:p>
      <w:pPr>
        <w:pStyle w:val="MdListItem"/>
        <w:numPr>
          <w:ilvl w:val="1"/>
          <w:numId w:val="2"/>
        </w:numPr>
      </w:pPr>
      <w:r>
        <w:rPr>
          <w:rStyle w:val="MdStrong"/>
          <w:b/>
          <w:bCs/>
        </w:rPr>
        <w:t xml:space="preserve">Fokusuotis į patikimumą ir paprastą naudojimą.</w:t>
      </w:r>
    </w:p>
    <w:p>
      <w:pPr>
        <w:pStyle w:val="MdListItem"/>
        <w:numPr>
          <w:ilvl w:val="0"/>
          <w:numId w:val="3"/>
        </w:numPr>
      </w:pPr>
      <w:r>
        <w:rPr>
          <w:rStyle w:val="MdStrong"/>
          <w:b/>
          <w:bCs/>
        </w:rPr>
        <w:t xml:space="preserve">Kainodaros Nustatymas:</w:t>
      </w:r>
    </w:p>
    <w:p>
      <w:pPr>
        <w:pStyle w:val="MdListItem"/>
        <w:numPr>
          <w:ilvl w:val="1"/>
          <w:numId w:val="2"/>
        </w:numPr>
      </w:pPr>
      <w:r>
        <w:t xml:space="preserve">Įdiegti trijų lygių prenumeratos modelį (pvz., </w:t>
      </w:r>
      <w:r>
        <w:rPr>
          <w:rStyle w:val="MdStrong"/>
          <w:b/>
          <w:bCs/>
        </w:rPr>
        <w:t xml:space="preserve">Basic, Pro, Premium</w:t>
      </w:r>
      <w:r>
        <w:t xml:space="preserve">) su kainomis nuo </w:t>
      </w:r>
      <w:r>
        <w:rPr>
          <w:rStyle w:val="MdStrong"/>
          <w:b/>
          <w:bCs/>
        </w:rPr>
        <w:t xml:space="preserve">~149 USD/mėn.</w:t>
      </w:r>
      <w:r>
        <w:t xml:space="preserve"> iki </w:t>
      </w:r>
      <w:r>
        <w:rPr>
          <w:rStyle w:val="MdStrong"/>
          <w:b/>
          <w:bCs/>
        </w:rPr>
        <w:t xml:space="preserve">~499 USD/mėn.</w:t>
      </w:r>
      <w:r>
        <w:t xml:space="preserve">, priklausomai nuo minučių/skambučių skaičiaus ir funkcijų.</w:t>
      </w:r>
    </w:p>
    <w:p>
      <w:pPr>
        <w:pStyle w:val="MdListItem"/>
        <w:numPr>
          <w:ilvl w:val="1"/>
          <w:numId w:val="2"/>
        </w:numPr>
      </w:pPr>
      <w:r>
        <w:t xml:space="preserve">Pasiūlyti </w:t>
      </w:r>
      <w:r>
        <w:rPr>
          <w:rStyle w:val="MdStrong"/>
          <w:b/>
          <w:bCs/>
        </w:rPr>
        <w:t xml:space="preserve">14 dienų nemokamą bandomąjį laikotarpį</w:t>
      </w:r>
      <w:r>
        <w:t xml:space="preserve">.</w:t>
      </w:r>
    </w:p>
    <w:p>
      <w:pPr>
        <w:pStyle w:val="MdListItem"/>
        <w:numPr>
          <w:ilvl w:val="0"/>
          <w:numId w:val="3"/>
        </w:numPr>
      </w:pPr>
      <w:r>
        <w:rPr>
          <w:rStyle w:val="MdStrong"/>
          <w:b/>
          <w:bCs/>
        </w:rPr>
        <w:t xml:space="preserve">Įėjimas į Rinką (Go-to-Market):</w:t>
      </w:r>
    </w:p>
    <w:p>
      <w:pPr>
        <w:pStyle w:val="MdListItem"/>
        <w:numPr>
          <w:ilvl w:val="1"/>
          <w:numId w:val="2"/>
        </w:numPr>
      </w:pPr>
      <w:r>
        <w:rPr>
          <w:rStyle w:val="MdStrong"/>
          <w:b/>
          <w:bCs/>
        </w:rPr>
        <w:t xml:space="preserve">Nišinė Koncentracija:</w:t>
      </w:r>
      <w:r>
        <w:t xml:space="preserve"> Visus marketingo ir pardavimų resursus sutelkti į </w:t>
      </w:r>
      <w:r>
        <w:rPr>
          <w:rStyle w:val="MdStrong"/>
          <w:b/>
          <w:bCs/>
        </w:rPr>
        <w:t xml:space="preserve">automobilių remonto servisus</w:t>
      </w:r>
      <w:r>
        <w:t xml:space="preserve"> vienoje iš top valstijų (pvz., Teksase ar Floridoje, kur verslo aplinka palankesnė).</w:t>
      </w:r>
    </w:p>
    <w:p>
      <w:pPr>
        <w:pStyle w:val="MdListItem"/>
        <w:numPr>
          <w:ilvl w:val="1"/>
          <w:numId w:val="2"/>
        </w:numPr>
      </w:pPr>
      <w:r>
        <w:rPr>
          <w:rStyle w:val="MdStrong"/>
          <w:b/>
          <w:bCs/>
        </w:rPr>
        <w:t xml:space="preserve">Pardavimų Kanalai:</w:t>
      </w:r>
      <w:r>
        <w:t xml:space="preserve"> Naudoti tiesioginius pardavimus (šaltieji skambučiai ir el. laiškai), aktyviai dalyvauti šios industrijos online forumuose ir grupėse, kurti turinį (blog'o įrašus, sėkmės istorijas), rodantį, kaip jūsų produktas sprendžia specifines servisų problemas.</w:t>
      </w:r>
    </w:p>
    <w:p>
      <w:pPr>
        <w:pStyle w:val="MdListItem"/>
        <w:numPr>
          <w:ilvl w:val="0"/>
          <w:numId w:val="3"/>
        </w:numPr>
      </w:pPr>
      <w:r>
        <w:rPr>
          <w:rStyle w:val="MdStrong"/>
          <w:b/>
          <w:bCs/>
        </w:rPr>
        <w:t xml:space="preserve">Plėtra ir Augimas:</w:t>
      </w:r>
    </w:p>
    <w:p>
      <w:pPr>
        <w:pStyle w:val="MdListItem"/>
        <w:numPr>
          <w:ilvl w:val="1"/>
          <w:numId w:val="2"/>
        </w:numPr>
      </w:pPr>
      <w:r>
        <w:t xml:space="preserve">Sėkmingai įsitvirtinus pirmoje nišoje, plėstis į antrą – </w:t>
      </w:r>
      <w:r>
        <w:rPr>
          <w:rStyle w:val="MdStrong"/>
          <w:b/>
          <w:bCs/>
        </w:rPr>
        <w:t xml:space="preserve">odontologijos klinikas</w:t>
      </w:r>
      <w:r>
        <w:t xml:space="preserve">.</w:t>
      </w:r>
    </w:p>
    <w:p>
      <w:pPr>
        <w:pStyle w:val="MdListItem"/>
        <w:numPr>
          <w:ilvl w:val="1"/>
          <w:numId w:val="2"/>
        </w:numPr>
      </w:pPr>
      <w:r>
        <w:t xml:space="preserve">Palaipsniui plėsti produkto funkcionalumą, judant link </w:t>
      </w:r>
      <w:r>
        <w:rPr>
          <w:rStyle w:val="MdStrong"/>
          <w:b/>
          <w:bCs/>
        </w:rPr>
        <w:t xml:space="preserve">pilno AI Virtualaus Administratoriaus</w:t>
      </w:r>
      <w:r>
        <w:t xml:space="preserve"> (pvz., pridedant atsakymus į DUK, peradresavimą).</w:t>
      </w:r>
    </w:p>
    <w:p>
      <w:pPr>
        <w:pStyle w:val="MdListItem"/>
        <w:numPr>
          <w:ilvl w:val="1"/>
          <w:numId w:val="2"/>
        </w:numPr>
      </w:pPr>
      <w:r>
        <w:t xml:space="preserve">Ilgalaikėje perspektyvoje – tirti galimybę sukurti </w:t>
      </w:r>
      <w:r>
        <w:rPr>
          <w:rStyle w:val="MdStrong"/>
          <w:b/>
          <w:bCs/>
        </w:rPr>
        <w:t xml:space="preserve">HIPAA atitinkantį sprendimą medicinos sektoriui</w:t>
      </w:r>
      <w:r>
        <w:t xml:space="preserve">, kas atvertų duris į vieną pelningiausių rinkų.</w:t>
      </w:r>
    </w:p>
    <w:p>
      <w:pPr>
        <w:pStyle w:val="MdSpace"/>
        <w:spacing w:before="0" w:after="60"/>
      </w:pPr>
    </w:p>
    <w:p>
      <w:pPr>
        <w:pStyle w:val="Heading3"/>
        <w:pStyle w:val="MdHeading3"/>
      </w:pPr>
      <w:r>
        <w:t xml:space="preserve">Galutinė Rekomendacija</w:t>
      </w:r>
    </w:p>
    <w:p>
      <w:pPr>
        <w:pStyle w:val="MdParagraph"/>
      </w:pPr>
      <w:r>
        <w:t xml:space="preserve">Nereikia ieškoti "geresnių, reikalingesnių dalykų". Jūsų pasirinkta AI agentų niša yra itin perspektyvi. Užuot blaškiusis, rekomenduojama </w:t>
      </w:r>
      <w:r>
        <w:rPr>
          <w:rStyle w:val="MdStrong"/>
          <w:b/>
          <w:bCs/>
        </w:rPr>
        <w:t xml:space="preserve">visą dėmesį ir resursus skirti šios konkrečios idėjos įgyvendinimui</w:t>
      </w:r>
      <w:r>
        <w:t xml:space="preserve">, laikantis aukščiau pateikto strateginio plano. Sėkmė priklausys ne nuo idėjos unikalumo, o nuo </w:t>
      </w:r>
      <w:r>
        <w:rPr>
          <w:rStyle w:val="MdStrong"/>
          <w:b/>
          <w:bCs/>
        </w:rPr>
        <w:t xml:space="preserve">kokybiško jos įgyvendinimo, teisingo marketingo ir gebėjimo aiškiai parodyti vertę klientui.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2026-02-28T20:42:43.927Z</dcterms:created>
  <dcterms:modified xsi:type="dcterms:W3CDTF">2026-02-28T20:42:43.927Z</dcterms:modified>
</cp:coreProperties>
</file>

<file path=docProps/custom.xml><?xml version="1.0" encoding="utf-8"?>
<Properties xmlns="http://schemas.openxmlformats.org/officeDocument/2006/custom-properties" xmlns:vt="http://schemas.openxmlformats.org/officeDocument/2006/docPropsVTypes"/>
</file>